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CBB81" w14:textId="77777777" w:rsidR="00012758" w:rsidRDefault="00012758" w:rsidP="00012758">
      <w:pPr>
        <w:spacing w:before="2520"/>
      </w:pPr>
      <w:bookmarkStart w:id="1" w:name="_GoBack"/>
      <w:bookmarkEnd w:id="1"/>
      <w:r>
        <w:rPr>
          <w:noProof/>
          <w:lang w:eastAsia="en-AU"/>
        </w:rPr>
        <w:drawing>
          <wp:anchor distT="0" distB="0" distL="114300" distR="114300" simplePos="0" relativeHeight="251660288" behindDoc="0" locked="0" layoutInCell="1" allowOverlap="1" wp14:anchorId="6426006E" wp14:editId="20EB6DDB">
            <wp:simplePos x="0" y="0"/>
            <wp:positionH relativeFrom="column">
              <wp:posOffset>3942140</wp:posOffset>
            </wp:positionH>
            <wp:positionV relativeFrom="paragraph">
              <wp:posOffset>17516</wp:posOffset>
            </wp:positionV>
            <wp:extent cx="1918066" cy="1212111"/>
            <wp:effectExtent l="0" t="0" r="6350" b="7620"/>
            <wp:wrapNone/>
            <wp:docPr id="10" name="Picture 10" title="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18066" cy="1212111"/>
                    </a:xfrm>
                    <a:prstGeom prst="rect">
                      <a:avLst/>
                    </a:prstGeom>
                  </pic:spPr>
                </pic:pic>
              </a:graphicData>
            </a:graphic>
            <wp14:sizeRelH relativeFrom="margin">
              <wp14:pctWidth>0</wp14:pctWidth>
            </wp14:sizeRelH>
            <wp14:sizeRelV relativeFrom="margin">
              <wp14:pctHeight>0</wp14:pctHeight>
            </wp14:sizeRelV>
          </wp:anchor>
        </w:drawing>
      </w:r>
      <w:r w:rsidRPr="00B74D0F">
        <w:rPr>
          <w:noProof/>
          <w:lang w:eastAsia="en-AU"/>
        </w:rPr>
        <w:drawing>
          <wp:anchor distT="0" distB="0" distL="114300" distR="114300" simplePos="0" relativeHeight="251659264" behindDoc="0" locked="0" layoutInCell="1" allowOverlap="1" wp14:anchorId="02E221A3" wp14:editId="38310ABC">
            <wp:simplePos x="0" y="0"/>
            <wp:positionH relativeFrom="column">
              <wp:posOffset>579285</wp:posOffset>
            </wp:positionH>
            <wp:positionV relativeFrom="paragraph">
              <wp:posOffset>97210</wp:posOffset>
            </wp:positionV>
            <wp:extent cx="1868170" cy="1069975"/>
            <wp:effectExtent l="0" t="0" r="0" b="0"/>
            <wp:wrapSquare wrapText="bothSides"/>
            <wp:docPr id="13" name="Picture 13" descr="MSIA Logo" title="MS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68170" cy="1069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92287F" w14:textId="77777777" w:rsidR="00012758" w:rsidRPr="00984FEF" w:rsidRDefault="00012758" w:rsidP="00984FEF">
      <w:pPr>
        <w:pStyle w:val="CCS-Heading1"/>
        <w:rPr>
          <w:rFonts w:ascii="Verdana" w:hAnsi="Verdana"/>
          <w:b w:val="0"/>
          <w:sz w:val="32"/>
          <w:szCs w:val="32"/>
        </w:rPr>
      </w:pPr>
      <w:r w:rsidRPr="00984FEF">
        <w:rPr>
          <w:rFonts w:ascii="Verdana" w:hAnsi="Verdana"/>
          <w:b w:val="0"/>
          <w:sz w:val="32"/>
          <w:szCs w:val="32"/>
        </w:rPr>
        <w:t>Medical Software Industry Association Inc.</w:t>
      </w:r>
    </w:p>
    <w:p w14:paraId="3C284171" w14:textId="77777777" w:rsidR="00012758" w:rsidRDefault="00012758" w:rsidP="00984FEF">
      <w:pPr>
        <w:pStyle w:val="CCS-Heading1"/>
      </w:pPr>
      <w:r w:rsidRPr="00984FEF">
        <w:rPr>
          <w:rFonts w:ascii="Verdana" w:hAnsi="Verdana"/>
          <w:b w:val="0"/>
          <w:sz w:val="32"/>
          <w:szCs w:val="32"/>
        </w:rPr>
        <w:t>Australian Government Department of Health</w:t>
      </w:r>
    </w:p>
    <w:p w14:paraId="6F635375" w14:textId="77777777" w:rsidR="00012758" w:rsidRDefault="00012758" w:rsidP="00012758">
      <w:pPr>
        <w:pBdr>
          <w:bottom w:val="single" w:sz="4" w:space="1" w:color="auto"/>
        </w:pBdr>
        <w:spacing w:after="120"/>
        <w:jc w:val="center"/>
        <w:rPr>
          <w:sz w:val="32"/>
          <w:szCs w:val="32"/>
        </w:rPr>
      </w:pPr>
    </w:p>
    <w:p w14:paraId="7256A2C0" w14:textId="77777777" w:rsidR="00984FEF" w:rsidRDefault="00984FEF" w:rsidP="00984FEF">
      <w:pPr>
        <w:pStyle w:val="CCS-Heading1"/>
        <w:rPr>
          <w:rFonts w:ascii="Verdana" w:hAnsi="Verdana"/>
          <w:b w:val="0"/>
          <w:sz w:val="32"/>
          <w:szCs w:val="32"/>
        </w:rPr>
      </w:pPr>
    </w:p>
    <w:p w14:paraId="5085A451" w14:textId="74837619" w:rsidR="00012758" w:rsidRPr="00984FEF" w:rsidRDefault="00012758" w:rsidP="00984FEF">
      <w:pPr>
        <w:pStyle w:val="CCS-Heading1"/>
        <w:rPr>
          <w:rFonts w:ascii="Verdana" w:hAnsi="Verdana"/>
          <w:b w:val="0"/>
          <w:sz w:val="32"/>
          <w:szCs w:val="32"/>
        </w:rPr>
      </w:pPr>
      <w:r w:rsidRPr="00984FEF">
        <w:rPr>
          <w:rFonts w:ascii="Verdana" w:hAnsi="Verdana"/>
          <w:b w:val="0"/>
          <w:sz w:val="32"/>
          <w:szCs w:val="32"/>
        </w:rPr>
        <w:t>PBS/RPBS Active Ingredient Prescribing</w:t>
      </w:r>
    </w:p>
    <w:p w14:paraId="31FD9829" w14:textId="77777777" w:rsidR="00012758" w:rsidRPr="00133502" w:rsidRDefault="00012758" w:rsidP="00012758">
      <w:pPr>
        <w:jc w:val="center"/>
        <w:rPr>
          <w:sz w:val="32"/>
          <w:szCs w:val="32"/>
        </w:rPr>
      </w:pPr>
    </w:p>
    <w:p w14:paraId="68C3237A" w14:textId="77777777" w:rsidR="00012758" w:rsidRPr="00133502" w:rsidRDefault="00012758" w:rsidP="00012758">
      <w:pPr>
        <w:jc w:val="center"/>
        <w:rPr>
          <w:sz w:val="32"/>
          <w:szCs w:val="32"/>
        </w:rPr>
      </w:pPr>
    </w:p>
    <w:p w14:paraId="2134DD35" w14:textId="77777777" w:rsidR="00012758" w:rsidRPr="00984FEF" w:rsidRDefault="00012758" w:rsidP="00984FEF">
      <w:pPr>
        <w:pStyle w:val="CCS-Heading1"/>
        <w:rPr>
          <w:rFonts w:ascii="Verdana" w:hAnsi="Verdana"/>
          <w:b w:val="0"/>
          <w:sz w:val="36"/>
          <w:szCs w:val="36"/>
        </w:rPr>
      </w:pPr>
      <w:r w:rsidRPr="00984FEF">
        <w:rPr>
          <w:rFonts w:ascii="Verdana" w:hAnsi="Verdana"/>
          <w:b w:val="0"/>
          <w:sz w:val="36"/>
          <w:szCs w:val="36"/>
        </w:rPr>
        <w:t>Vendor Resource Document</w:t>
      </w:r>
      <w:r w:rsidRPr="00984FEF">
        <w:rPr>
          <w:rFonts w:ascii="Verdana" w:hAnsi="Verdana"/>
          <w:b w:val="0"/>
          <w:sz w:val="36"/>
          <w:szCs w:val="36"/>
        </w:rPr>
        <w:br/>
        <w:t>for Prescribing Software Developers</w:t>
      </w:r>
    </w:p>
    <w:p w14:paraId="04170496" w14:textId="51B6C3A6" w:rsidR="00012758" w:rsidRDefault="00012758" w:rsidP="00012758">
      <w:pPr>
        <w:pStyle w:val="BlockText"/>
        <w:spacing w:before="1680"/>
        <w:ind w:left="0"/>
      </w:pPr>
      <w:r w:rsidRPr="000F5273">
        <w:t>Prepared by:</w:t>
      </w:r>
      <w:r w:rsidRPr="000F5273">
        <w:br/>
        <w:t>MSIA in collaboration with</w:t>
      </w:r>
      <w:r w:rsidRPr="000F5273">
        <w:br/>
        <w:t>The Australian Government Department of Health</w:t>
      </w:r>
      <w:r w:rsidRPr="00D14DC9">
        <w:t>.</w:t>
      </w:r>
    </w:p>
    <w:p w14:paraId="0217A92A" w14:textId="2075AF10" w:rsidR="00012758" w:rsidRPr="00D14DC9" w:rsidRDefault="001007C5" w:rsidP="00012758">
      <w:pPr>
        <w:spacing w:before="1080"/>
      </w:pPr>
      <w:r>
        <w:t>1</w:t>
      </w:r>
      <w:r w:rsidR="00012758">
        <w:t xml:space="preserve"> </w:t>
      </w:r>
      <w:r>
        <w:t>December</w:t>
      </w:r>
      <w:r w:rsidR="00012758">
        <w:t xml:space="preserve"> 2020</w:t>
      </w:r>
    </w:p>
    <w:p w14:paraId="60C16C59" w14:textId="099C95DA" w:rsidR="00012758" w:rsidRPr="000F5273" w:rsidRDefault="00012758" w:rsidP="00012758">
      <w:pPr>
        <w:rPr>
          <w:rFonts w:eastAsia="Times New Roman"/>
          <w:sz w:val="24"/>
          <w:szCs w:val="24"/>
        </w:rPr>
      </w:pPr>
      <w:r>
        <w:rPr>
          <w:rFonts w:eastAsia="Times New Roman"/>
          <w:szCs w:val="22"/>
        </w:rPr>
        <w:t xml:space="preserve">Release </w:t>
      </w:r>
      <w:r w:rsidRPr="009070C8">
        <w:rPr>
          <w:rFonts w:eastAsia="Times New Roman"/>
          <w:szCs w:val="22"/>
        </w:rPr>
        <w:t xml:space="preserve">Version </w:t>
      </w:r>
      <w:r>
        <w:rPr>
          <w:rFonts w:eastAsia="Times New Roman"/>
          <w:szCs w:val="22"/>
        </w:rPr>
        <w:t xml:space="preserve"> 2.</w:t>
      </w:r>
      <w:r w:rsidR="001007C5">
        <w:rPr>
          <w:rFonts w:eastAsia="Times New Roman"/>
          <w:szCs w:val="22"/>
        </w:rPr>
        <w:t>3</w:t>
      </w:r>
    </w:p>
    <w:p w14:paraId="77668618" w14:textId="77777777" w:rsidR="00012758" w:rsidRDefault="00012758" w:rsidP="00012758"/>
    <w:p w14:paraId="33334FEA" w14:textId="77777777" w:rsidR="00012758" w:rsidRPr="009070C8" w:rsidRDefault="00012758" w:rsidP="00012758">
      <w:pPr>
        <w:rPr>
          <w:rStyle w:val="Hyperlink"/>
          <w:sz w:val="20"/>
        </w:rPr>
      </w:pPr>
      <w:r w:rsidRPr="009070C8">
        <w:rPr>
          <w:sz w:val="20"/>
        </w:rPr>
        <w:t xml:space="preserve">Contact: John Green | </w:t>
      </w:r>
      <w:hyperlink r:id="rId10" w:history="1">
        <w:r w:rsidRPr="009070C8">
          <w:rPr>
            <w:rStyle w:val="Hyperlink"/>
            <w:sz w:val="20"/>
          </w:rPr>
          <w:t>medications@msia.com.au</w:t>
        </w:r>
      </w:hyperlink>
    </w:p>
    <w:p w14:paraId="528D8DF6" w14:textId="77777777" w:rsidR="00012758" w:rsidRDefault="00012758" w:rsidP="00012758">
      <w:pPr>
        <w:pStyle w:val="SubTitle3"/>
        <w:spacing w:before="360"/>
        <w:jc w:val="left"/>
        <w:rPr>
          <w:rStyle w:val="StyleSubTitle3Blue-GrayChar"/>
          <w:rFonts w:asciiTheme="minorHAnsi" w:hAnsiTheme="minorHAnsi"/>
          <w:sz w:val="16"/>
        </w:rPr>
      </w:pPr>
      <w:r w:rsidRPr="00EA050E">
        <w:rPr>
          <w:rStyle w:val="StyleSubTitle3Blue-GrayChar"/>
          <w:rFonts w:asciiTheme="minorHAnsi" w:hAnsiTheme="minorHAnsi"/>
          <w:sz w:val="16"/>
        </w:rPr>
        <w:fldChar w:fldCharType="begin"/>
      </w:r>
      <w:r w:rsidRPr="00EA050E">
        <w:rPr>
          <w:rStyle w:val="StyleSubTitle3Blue-GrayChar"/>
          <w:rFonts w:asciiTheme="minorHAnsi" w:hAnsiTheme="minorHAnsi"/>
          <w:sz w:val="16"/>
        </w:rPr>
        <w:instrText xml:space="preserve"> FILENAME  \p  \* MERGEFORMAT </w:instrText>
      </w:r>
      <w:r w:rsidRPr="00EA050E">
        <w:rPr>
          <w:rStyle w:val="StyleSubTitle3Blue-GrayChar"/>
          <w:rFonts w:asciiTheme="minorHAnsi" w:hAnsiTheme="minorHAnsi"/>
          <w:sz w:val="16"/>
        </w:rPr>
        <w:fldChar w:fldCharType="separate"/>
      </w:r>
      <w:r>
        <w:rPr>
          <w:rStyle w:val="StyleSubTitle3Blue-GrayChar"/>
          <w:rFonts w:asciiTheme="minorHAnsi" w:hAnsiTheme="minorHAnsi"/>
          <w:noProof/>
          <w:sz w:val="16"/>
        </w:rPr>
        <w:t>D:\MSIA\PBS AIP (Jun-19)\VRD_Releases\V2.0 Aug20\MSIA AIP VRD (v 2.0).docx</w:t>
      </w:r>
      <w:r w:rsidRPr="00EA050E">
        <w:rPr>
          <w:rStyle w:val="StyleSubTitle3Blue-GrayChar"/>
          <w:rFonts w:asciiTheme="minorHAnsi" w:hAnsiTheme="minorHAnsi"/>
          <w:sz w:val="16"/>
        </w:rPr>
        <w:fldChar w:fldCharType="end"/>
      </w:r>
    </w:p>
    <w:p w14:paraId="1B8BFAEC" w14:textId="77777777" w:rsidR="00012758" w:rsidRDefault="00012758" w:rsidP="00012758">
      <w:pPr>
        <w:pStyle w:val="SubTitle3"/>
        <w:rPr>
          <w:rStyle w:val="StyleSubTitle3Blue-GrayChar"/>
          <w:rFonts w:asciiTheme="minorHAnsi" w:hAnsiTheme="minorHAnsi"/>
          <w:sz w:val="16"/>
        </w:rPr>
      </w:pPr>
    </w:p>
    <w:p w14:paraId="399EDD4F" w14:textId="77777777" w:rsidR="00C051BB" w:rsidRDefault="00C051BB" w:rsidP="002C41C7">
      <w:pPr>
        <w:pStyle w:val="SubTitle3"/>
        <w:rPr>
          <w:rStyle w:val="StyleSubTitle3Blue-GrayChar"/>
          <w:rFonts w:asciiTheme="minorHAnsi" w:hAnsiTheme="minorHAnsi"/>
          <w:sz w:val="16"/>
        </w:rPr>
      </w:pPr>
    </w:p>
    <w:p w14:paraId="1E9CFB6A" w14:textId="77777777" w:rsidR="001D02F0" w:rsidRDefault="001D02F0" w:rsidP="002C41C7">
      <w:pPr>
        <w:rPr>
          <w:rStyle w:val="StyleSubTitle3Blue-GrayChar"/>
          <w:rFonts w:asciiTheme="minorHAnsi" w:eastAsia="Times New Roman" w:hAnsiTheme="minorHAnsi"/>
          <w:sz w:val="16"/>
        </w:rPr>
        <w:sectPr w:rsidR="001D02F0" w:rsidSect="0081493E">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1021" w:gutter="0"/>
          <w:cols w:space="720"/>
          <w:titlePg/>
          <w:docGrid w:linePitch="299"/>
        </w:sectPr>
      </w:pPr>
    </w:p>
    <w:p w14:paraId="0765D193" w14:textId="77777777" w:rsidR="007B7501" w:rsidRPr="006E73CE" w:rsidRDefault="007B7501" w:rsidP="006A6441">
      <w:pPr>
        <w:spacing w:after="240"/>
        <w:rPr>
          <w:rStyle w:val="IntenseEmphasis"/>
          <w:b/>
          <w:bCs/>
          <w:i w:val="0"/>
          <w:color w:val="365F91"/>
          <w:sz w:val="24"/>
          <w:szCs w:val="24"/>
        </w:rPr>
      </w:pPr>
      <w:r w:rsidRPr="007B7501">
        <w:rPr>
          <w:rStyle w:val="IntenseEmphasis"/>
          <w:bCs/>
          <w:iCs w:val="0"/>
          <w:color w:val="365F91"/>
          <w:sz w:val="24"/>
          <w:szCs w:val="24"/>
        </w:rPr>
        <w:lastRenderedPageBreak/>
        <w:t>Document Revisions</w:t>
      </w:r>
    </w:p>
    <w:tbl>
      <w:tblPr>
        <w:tblStyle w:val="GridTable4-Accent11"/>
        <w:tblW w:w="8925" w:type="dxa"/>
        <w:tblLayout w:type="fixed"/>
        <w:tblLook w:val="0420" w:firstRow="1" w:lastRow="0" w:firstColumn="0" w:lastColumn="0" w:noHBand="0" w:noVBand="1"/>
        <w:tblCaption w:val="This table outlines the revisions of this document. "/>
        <w:tblDescription w:val="There have been 17 revisions of this document, the most recent of which was published on 14 December 2020."/>
      </w:tblPr>
      <w:tblGrid>
        <w:gridCol w:w="1271"/>
        <w:gridCol w:w="1304"/>
        <w:gridCol w:w="6350"/>
      </w:tblGrid>
      <w:tr w:rsidR="007B7501" w:rsidRPr="002266EB" w14:paraId="33B8DA6D" w14:textId="77777777" w:rsidTr="001007C5">
        <w:trPr>
          <w:cnfStyle w:val="100000000000" w:firstRow="1" w:lastRow="0" w:firstColumn="0" w:lastColumn="0" w:oddVBand="0" w:evenVBand="0" w:oddHBand="0" w:evenHBand="0" w:firstRowFirstColumn="0" w:firstRowLastColumn="0" w:lastRowFirstColumn="0" w:lastRowLastColumn="0"/>
          <w:trHeight w:val="510"/>
          <w:tblHeader/>
        </w:trPr>
        <w:tc>
          <w:tcPr>
            <w:tcW w:w="1271" w:type="dxa"/>
          </w:tcPr>
          <w:p w14:paraId="6825B37D" w14:textId="77777777" w:rsidR="007B7501" w:rsidRPr="006E73CE" w:rsidRDefault="007B7501" w:rsidP="002C41C7">
            <w:pPr>
              <w:rPr>
                <w:sz w:val="16"/>
                <w:szCs w:val="16"/>
              </w:rPr>
            </w:pPr>
            <w:r w:rsidRPr="006E73CE">
              <w:rPr>
                <w:sz w:val="16"/>
                <w:szCs w:val="16"/>
              </w:rPr>
              <w:t>Date</w:t>
            </w:r>
          </w:p>
        </w:tc>
        <w:tc>
          <w:tcPr>
            <w:tcW w:w="1304" w:type="dxa"/>
          </w:tcPr>
          <w:p w14:paraId="0963C05E" w14:textId="77777777" w:rsidR="007B7501" w:rsidRPr="006E73CE" w:rsidRDefault="007B7501" w:rsidP="009626FE">
            <w:pPr>
              <w:ind w:left="63" w:hanging="73"/>
              <w:rPr>
                <w:sz w:val="16"/>
                <w:szCs w:val="16"/>
              </w:rPr>
            </w:pPr>
            <w:r w:rsidRPr="006E73CE">
              <w:rPr>
                <w:sz w:val="16"/>
                <w:szCs w:val="16"/>
              </w:rPr>
              <w:t>Revision</w:t>
            </w:r>
          </w:p>
        </w:tc>
        <w:tc>
          <w:tcPr>
            <w:tcW w:w="6350" w:type="dxa"/>
          </w:tcPr>
          <w:p w14:paraId="52D79696" w14:textId="77777777" w:rsidR="007B7501" w:rsidRPr="006E73CE" w:rsidRDefault="007B7501" w:rsidP="009626FE">
            <w:pPr>
              <w:ind w:left="226" w:hanging="45"/>
              <w:rPr>
                <w:sz w:val="16"/>
                <w:szCs w:val="16"/>
              </w:rPr>
            </w:pPr>
            <w:r w:rsidRPr="006E73CE">
              <w:rPr>
                <w:sz w:val="16"/>
                <w:szCs w:val="16"/>
              </w:rPr>
              <w:t>Comments</w:t>
            </w:r>
          </w:p>
        </w:tc>
      </w:tr>
      <w:tr w:rsidR="007B7501" w:rsidRPr="002266EB" w14:paraId="6FD314F1"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55A04A95" w14:textId="77777777" w:rsidR="007B7501" w:rsidRPr="006E73CE" w:rsidRDefault="007B7501" w:rsidP="00293917">
            <w:pPr>
              <w:spacing w:before="60" w:after="60"/>
              <w:ind w:left="0" w:firstLine="0"/>
              <w:rPr>
                <w:rFonts w:ascii="Verdana Pro" w:hAnsi="Verdana Pro"/>
                <w:sz w:val="16"/>
                <w:szCs w:val="16"/>
              </w:rPr>
            </w:pPr>
            <w:r w:rsidRPr="006E73CE">
              <w:rPr>
                <w:rFonts w:ascii="Verdana Pro" w:hAnsi="Verdana Pro"/>
                <w:sz w:val="16"/>
                <w:szCs w:val="16"/>
              </w:rPr>
              <w:t>2</w:t>
            </w:r>
            <w:r w:rsidR="00BC63A6" w:rsidRPr="006E73CE">
              <w:rPr>
                <w:rFonts w:ascii="Verdana Pro" w:hAnsi="Verdana Pro"/>
                <w:sz w:val="16"/>
                <w:szCs w:val="16"/>
              </w:rPr>
              <w:t>3</w:t>
            </w:r>
            <w:r w:rsidRPr="006E73CE">
              <w:rPr>
                <w:rFonts w:ascii="Verdana Pro" w:hAnsi="Verdana Pro"/>
                <w:sz w:val="16"/>
                <w:szCs w:val="16"/>
              </w:rPr>
              <w:t>/0</w:t>
            </w:r>
            <w:r w:rsidR="00BC63A6" w:rsidRPr="006E73CE">
              <w:rPr>
                <w:rFonts w:ascii="Verdana Pro" w:hAnsi="Verdana Pro"/>
                <w:sz w:val="16"/>
                <w:szCs w:val="16"/>
              </w:rPr>
              <w:t>7</w:t>
            </w:r>
            <w:r w:rsidRPr="006E73CE">
              <w:rPr>
                <w:rFonts w:ascii="Verdana Pro" w:hAnsi="Verdana Pro"/>
                <w:sz w:val="16"/>
                <w:szCs w:val="16"/>
              </w:rPr>
              <w:t>/2019</w:t>
            </w:r>
          </w:p>
        </w:tc>
        <w:tc>
          <w:tcPr>
            <w:tcW w:w="1304" w:type="dxa"/>
          </w:tcPr>
          <w:p w14:paraId="015A1ECF" w14:textId="77777777" w:rsidR="007B7501" w:rsidRPr="006E73CE" w:rsidRDefault="00BC63A6" w:rsidP="00293917">
            <w:pPr>
              <w:spacing w:before="60" w:after="60"/>
              <w:ind w:left="0" w:firstLine="0"/>
              <w:rPr>
                <w:rFonts w:ascii="Verdana Pro" w:hAnsi="Verdana Pro"/>
                <w:sz w:val="16"/>
                <w:szCs w:val="16"/>
              </w:rPr>
            </w:pPr>
            <w:r w:rsidRPr="006E73CE">
              <w:rPr>
                <w:rFonts w:ascii="Verdana Pro" w:hAnsi="Verdana Pro"/>
                <w:sz w:val="16"/>
                <w:szCs w:val="16"/>
              </w:rPr>
              <w:t>0.1</w:t>
            </w:r>
          </w:p>
        </w:tc>
        <w:tc>
          <w:tcPr>
            <w:tcW w:w="6350" w:type="dxa"/>
          </w:tcPr>
          <w:p w14:paraId="795C9528" w14:textId="77777777" w:rsidR="007B7501" w:rsidRPr="006E73CE" w:rsidRDefault="007B7501" w:rsidP="00293917">
            <w:pPr>
              <w:spacing w:before="60" w:after="60"/>
              <w:ind w:left="0" w:firstLine="0"/>
              <w:rPr>
                <w:rFonts w:ascii="Verdana Pro" w:hAnsi="Verdana Pro"/>
                <w:sz w:val="16"/>
                <w:szCs w:val="16"/>
              </w:rPr>
            </w:pPr>
            <w:r w:rsidRPr="006E73CE">
              <w:rPr>
                <w:rFonts w:ascii="Verdana Pro" w:hAnsi="Verdana Pro"/>
                <w:sz w:val="16"/>
                <w:szCs w:val="16"/>
              </w:rPr>
              <w:t>Initial version authored by MSIA with input from the Australian Government Department of Health.</w:t>
            </w:r>
          </w:p>
        </w:tc>
      </w:tr>
      <w:tr w:rsidR="007B7501" w:rsidRPr="002266EB" w14:paraId="05F7AF5F" w14:textId="77777777" w:rsidTr="006E73CE">
        <w:tc>
          <w:tcPr>
            <w:tcW w:w="1271" w:type="dxa"/>
          </w:tcPr>
          <w:p w14:paraId="0FD75F35" w14:textId="77777777" w:rsidR="007B7501" w:rsidRPr="006E73CE" w:rsidRDefault="005F5F30" w:rsidP="00293917">
            <w:pPr>
              <w:spacing w:before="60" w:after="60"/>
              <w:ind w:left="0" w:firstLine="0"/>
              <w:rPr>
                <w:rFonts w:ascii="Verdana Pro" w:hAnsi="Verdana Pro"/>
                <w:sz w:val="16"/>
                <w:szCs w:val="16"/>
              </w:rPr>
            </w:pPr>
            <w:r w:rsidRPr="006E73CE">
              <w:rPr>
                <w:rFonts w:ascii="Verdana Pro" w:hAnsi="Verdana Pro"/>
                <w:sz w:val="16"/>
                <w:szCs w:val="16"/>
              </w:rPr>
              <w:t>0</w:t>
            </w:r>
            <w:r w:rsidR="00AC5788" w:rsidRPr="006E73CE">
              <w:rPr>
                <w:rFonts w:ascii="Verdana Pro" w:hAnsi="Verdana Pro"/>
                <w:sz w:val="16"/>
                <w:szCs w:val="16"/>
              </w:rPr>
              <w:t>7</w:t>
            </w:r>
            <w:r w:rsidRPr="006E73CE">
              <w:rPr>
                <w:rFonts w:ascii="Verdana Pro" w:hAnsi="Verdana Pro"/>
                <w:sz w:val="16"/>
                <w:szCs w:val="16"/>
              </w:rPr>
              <w:t>/08</w:t>
            </w:r>
            <w:r w:rsidR="00D84763" w:rsidRPr="006E73CE">
              <w:rPr>
                <w:rFonts w:ascii="Verdana Pro" w:hAnsi="Verdana Pro"/>
                <w:sz w:val="16"/>
                <w:szCs w:val="16"/>
              </w:rPr>
              <w:t>/2019</w:t>
            </w:r>
          </w:p>
        </w:tc>
        <w:tc>
          <w:tcPr>
            <w:tcW w:w="1304" w:type="dxa"/>
          </w:tcPr>
          <w:p w14:paraId="546C3F42" w14:textId="77777777" w:rsidR="007B7501" w:rsidRPr="006E73CE" w:rsidRDefault="00186CB3" w:rsidP="00293917">
            <w:pPr>
              <w:spacing w:before="60" w:after="60"/>
              <w:ind w:left="0" w:firstLine="0"/>
              <w:rPr>
                <w:rFonts w:ascii="Verdana Pro" w:hAnsi="Verdana Pro"/>
                <w:sz w:val="16"/>
                <w:szCs w:val="16"/>
              </w:rPr>
            </w:pPr>
            <w:r w:rsidRPr="006E73CE">
              <w:rPr>
                <w:rFonts w:ascii="Verdana Pro" w:hAnsi="Verdana Pro"/>
                <w:sz w:val="16"/>
                <w:szCs w:val="16"/>
              </w:rPr>
              <w:t xml:space="preserve">0.2 to </w:t>
            </w:r>
            <w:r w:rsidR="00BC006A" w:rsidRPr="006E73CE">
              <w:rPr>
                <w:rFonts w:ascii="Verdana Pro" w:hAnsi="Verdana Pro"/>
                <w:sz w:val="16"/>
                <w:szCs w:val="16"/>
              </w:rPr>
              <w:t>0.</w:t>
            </w:r>
            <w:r w:rsidR="00AC5788" w:rsidRPr="006E73CE">
              <w:rPr>
                <w:rFonts w:ascii="Verdana Pro" w:hAnsi="Verdana Pro"/>
                <w:sz w:val="16"/>
                <w:szCs w:val="16"/>
              </w:rPr>
              <w:t>4</w:t>
            </w:r>
          </w:p>
        </w:tc>
        <w:tc>
          <w:tcPr>
            <w:tcW w:w="6350" w:type="dxa"/>
          </w:tcPr>
          <w:p w14:paraId="57C399FF" w14:textId="77777777" w:rsidR="007B7501" w:rsidRPr="006E73CE" w:rsidRDefault="00D84763" w:rsidP="00293917">
            <w:pPr>
              <w:spacing w:before="60" w:after="60"/>
              <w:ind w:left="0" w:firstLine="0"/>
              <w:rPr>
                <w:rFonts w:ascii="Verdana Pro" w:hAnsi="Verdana Pro"/>
                <w:sz w:val="16"/>
                <w:szCs w:val="16"/>
              </w:rPr>
            </w:pPr>
            <w:r w:rsidRPr="006E73CE">
              <w:rPr>
                <w:rFonts w:ascii="Verdana Pro" w:hAnsi="Verdana Pro"/>
                <w:sz w:val="16"/>
                <w:szCs w:val="16"/>
              </w:rPr>
              <w:t xml:space="preserve">Incorporate amendments </w:t>
            </w:r>
            <w:r w:rsidR="003839EA" w:rsidRPr="006E73CE">
              <w:rPr>
                <w:rFonts w:ascii="Verdana Pro" w:hAnsi="Verdana Pro"/>
                <w:sz w:val="16"/>
                <w:szCs w:val="16"/>
              </w:rPr>
              <w:t>following</w:t>
            </w:r>
            <w:r w:rsidRPr="006E73CE">
              <w:rPr>
                <w:rFonts w:ascii="Verdana Pro" w:hAnsi="Verdana Pro"/>
                <w:sz w:val="16"/>
                <w:szCs w:val="16"/>
              </w:rPr>
              <w:t xml:space="preserve"> review meeting</w:t>
            </w:r>
            <w:r w:rsidR="003839EA" w:rsidRPr="006E73CE">
              <w:rPr>
                <w:rFonts w:ascii="Verdana Pro" w:hAnsi="Verdana Pro"/>
                <w:sz w:val="16"/>
                <w:szCs w:val="16"/>
              </w:rPr>
              <w:t>s</w:t>
            </w:r>
            <w:r w:rsidRPr="006E73CE">
              <w:rPr>
                <w:rFonts w:ascii="Verdana Pro" w:hAnsi="Verdana Pro"/>
                <w:sz w:val="16"/>
                <w:szCs w:val="16"/>
              </w:rPr>
              <w:t xml:space="preserve"> with the Department of Health.</w:t>
            </w:r>
          </w:p>
        </w:tc>
      </w:tr>
      <w:tr w:rsidR="00552EDF" w:rsidRPr="002266EB" w14:paraId="6A458A01"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0A0F79ED" w14:textId="77777777" w:rsidR="00552EDF" w:rsidRPr="006E73CE" w:rsidRDefault="00552EDF" w:rsidP="00293917">
            <w:pPr>
              <w:spacing w:before="60" w:after="60"/>
              <w:ind w:left="0" w:firstLine="0"/>
              <w:rPr>
                <w:rFonts w:ascii="Verdana Pro" w:hAnsi="Verdana Pro"/>
                <w:sz w:val="16"/>
                <w:szCs w:val="16"/>
              </w:rPr>
            </w:pPr>
            <w:r w:rsidRPr="006E73CE">
              <w:rPr>
                <w:rFonts w:ascii="Verdana Pro" w:hAnsi="Verdana Pro"/>
                <w:sz w:val="16"/>
                <w:szCs w:val="16"/>
              </w:rPr>
              <w:t>15/08/2019</w:t>
            </w:r>
          </w:p>
        </w:tc>
        <w:tc>
          <w:tcPr>
            <w:tcW w:w="1304" w:type="dxa"/>
          </w:tcPr>
          <w:p w14:paraId="0EC5253C" w14:textId="77777777" w:rsidR="00552EDF" w:rsidRPr="006E73CE" w:rsidRDefault="006A6441" w:rsidP="00293917">
            <w:pPr>
              <w:spacing w:before="60" w:after="60"/>
              <w:ind w:left="0" w:firstLine="0"/>
              <w:rPr>
                <w:rFonts w:ascii="Verdana Pro" w:hAnsi="Verdana Pro"/>
                <w:sz w:val="16"/>
                <w:szCs w:val="16"/>
              </w:rPr>
            </w:pPr>
            <w:r w:rsidRPr="006E73CE">
              <w:rPr>
                <w:rFonts w:ascii="Verdana Pro" w:hAnsi="Verdana Pro"/>
                <w:sz w:val="16"/>
                <w:szCs w:val="16"/>
              </w:rPr>
              <w:t>0.</w:t>
            </w:r>
            <w:r w:rsidR="00391D86" w:rsidRPr="006E73CE">
              <w:rPr>
                <w:rFonts w:ascii="Verdana Pro" w:hAnsi="Verdana Pro"/>
                <w:sz w:val="16"/>
                <w:szCs w:val="16"/>
              </w:rPr>
              <w:t>5</w:t>
            </w:r>
            <w:r w:rsidRPr="006E73CE">
              <w:rPr>
                <w:rFonts w:ascii="Verdana Pro" w:hAnsi="Verdana Pro"/>
                <w:sz w:val="16"/>
                <w:szCs w:val="16"/>
              </w:rPr>
              <w:t xml:space="preserve"> to </w:t>
            </w:r>
            <w:r w:rsidR="00552EDF" w:rsidRPr="006E73CE">
              <w:rPr>
                <w:rFonts w:ascii="Verdana Pro" w:hAnsi="Verdana Pro"/>
                <w:sz w:val="16"/>
                <w:szCs w:val="16"/>
              </w:rPr>
              <w:t>0.6</w:t>
            </w:r>
          </w:p>
        </w:tc>
        <w:tc>
          <w:tcPr>
            <w:tcW w:w="6350" w:type="dxa"/>
          </w:tcPr>
          <w:p w14:paraId="3C3221C0" w14:textId="77777777" w:rsidR="00552EDF" w:rsidRPr="006E73CE" w:rsidRDefault="00552EDF" w:rsidP="00293917">
            <w:pPr>
              <w:spacing w:before="60" w:after="60"/>
              <w:ind w:left="0" w:firstLine="0"/>
              <w:rPr>
                <w:rFonts w:ascii="Verdana Pro" w:hAnsi="Verdana Pro"/>
                <w:sz w:val="16"/>
                <w:szCs w:val="16"/>
              </w:rPr>
            </w:pPr>
            <w:r w:rsidRPr="006E73CE">
              <w:rPr>
                <w:rFonts w:ascii="Verdana Pro" w:hAnsi="Verdana Pro"/>
                <w:sz w:val="16"/>
                <w:szCs w:val="16"/>
              </w:rPr>
              <w:t xml:space="preserve">Incorporate amendments following vendor input received at </w:t>
            </w:r>
            <w:r w:rsidR="006A6441" w:rsidRPr="006E73CE">
              <w:rPr>
                <w:rFonts w:ascii="Verdana Pro" w:hAnsi="Verdana Pro"/>
                <w:sz w:val="16"/>
                <w:szCs w:val="16"/>
              </w:rPr>
              <w:t>14th Aug software vendor</w:t>
            </w:r>
            <w:r w:rsidRPr="006E73CE">
              <w:rPr>
                <w:rFonts w:ascii="Verdana Pro" w:hAnsi="Verdana Pro"/>
                <w:sz w:val="16"/>
                <w:szCs w:val="16"/>
              </w:rPr>
              <w:t xml:space="preserve"> teleconference. </w:t>
            </w:r>
          </w:p>
        </w:tc>
      </w:tr>
      <w:tr w:rsidR="00A4573F" w:rsidRPr="002266EB" w14:paraId="7FB94376" w14:textId="77777777" w:rsidTr="006E73CE">
        <w:tc>
          <w:tcPr>
            <w:tcW w:w="1271" w:type="dxa"/>
          </w:tcPr>
          <w:p w14:paraId="08CC3E9B" w14:textId="77777777" w:rsidR="00A4573F" w:rsidRPr="006E73CE" w:rsidRDefault="00A4573F" w:rsidP="00293917">
            <w:pPr>
              <w:spacing w:before="60" w:after="60"/>
              <w:ind w:left="0" w:firstLine="0"/>
              <w:rPr>
                <w:rFonts w:ascii="Verdana Pro" w:hAnsi="Verdana Pro"/>
                <w:sz w:val="16"/>
                <w:szCs w:val="16"/>
              </w:rPr>
            </w:pPr>
            <w:r w:rsidRPr="006E73CE">
              <w:rPr>
                <w:rFonts w:ascii="Verdana Pro" w:hAnsi="Verdana Pro"/>
                <w:sz w:val="16"/>
                <w:szCs w:val="16"/>
              </w:rPr>
              <w:t>22/08/2019</w:t>
            </w:r>
          </w:p>
        </w:tc>
        <w:tc>
          <w:tcPr>
            <w:tcW w:w="1304" w:type="dxa"/>
          </w:tcPr>
          <w:p w14:paraId="1E8A658D" w14:textId="77777777" w:rsidR="00A4573F" w:rsidRPr="006E73CE" w:rsidRDefault="00A4573F" w:rsidP="00293917">
            <w:pPr>
              <w:spacing w:before="60" w:after="60"/>
              <w:ind w:left="0" w:firstLine="0"/>
              <w:rPr>
                <w:rFonts w:ascii="Verdana Pro" w:hAnsi="Verdana Pro"/>
                <w:sz w:val="16"/>
                <w:szCs w:val="16"/>
              </w:rPr>
            </w:pPr>
            <w:r w:rsidRPr="006E73CE">
              <w:rPr>
                <w:rFonts w:ascii="Verdana Pro" w:hAnsi="Verdana Pro"/>
                <w:sz w:val="16"/>
                <w:szCs w:val="16"/>
              </w:rPr>
              <w:t>0.7</w:t>
            </w:r>
          </w:p>
        </w:tc>
        <w:tc>
          <w:tcPr>
            <w:tcW w:w="6350" w:type="dxa"/>
          </w:tcPr>
          <w:p w14:paraId="3E669044" w14:textId="77777777" w:rsidR="00A4573F" w:rsidRPr="006E73CE" w:rsidRDefault="00BF3948" w:rsidP="00293917">
            <w:pPr>
              <w:spacing w:before="60" w:after="60"/>
              <w:ind w:left="0" w:firstLine="0"/>
              <w:rPr>
                <w:rFonts w:ascii="Verdana Pro" w:hAnsi="Verdana Pro"/>
                <w:sz w:val="16"/>
                <w:szCs w:val="16"/>
              </w:rPr>
            </w:pPr>
            <w:r w:rsidRPr="006E73CE">
              <w:rPr>
                <w:rFonts w:ascii="Verdana Pro" w:hAnsi="Verdana Pro"/>
                <w:sz w:val="16"/>
                <w:szCs w:val="16"/>
              </w:rPr>
              <w:t>Clarify above and i</w:t>
            </w:r>
            <w:r w:rsidR="00A4573F" w:rsidRPr="006E73CE">
              <w:rPr>
                <w:rFonts w:ascii="Verdana Pro" w:hAnsi="Verdana Pro"/>
                <w:sz w:val="16"/>
                <w:szCs w:val="16"/>
              </w:rPr>
              <w:t xml:space="preserve">ncorporate </w:t>
            </w:r>
            <w:r w:rsidRPr="006E73CE">
              <w:rPr>
                <w:rFonts w:ascii="Verdana Pro" w:hAnsi="Verdana Pro"/>
                <w:sz w:val="16"/>
                <w:szCs w:val="16"/>
              </w:rPr>
              <w:t>additional situations where ingredient names are NOT required.</w:t>
            </w:r>
            <w:r w:rsidR="00A4573F" w:rsidRPr="006E73CE">
              <w:rPr>
                <w:rFonts w:ascii="Verdana Pro" w:hAnsi="Verdana Pro"/>
                <w:sz w:val="16"/>
                <w:szCs w:val="16"/>
              </w:rPr>
              <w:t xml:space="preserve"> </w:t>
            </w:r>
          </w:p>
        </w:tc>
      </w:tr>
      <w:tr w:rsidR="00887563" w:rsidRPr="002266EB" w14:paraId="7BFEE8CF"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015E0001" w14:textId="77777777" w:rsidR="00887563" w:rsidRPr="006E73CE" w:rsidRDefault="00887563" w:rsidP="00293917">
            <w:pPr>
              <w:spacing w:before="60" w:after="60"/>
              <w:ind w:left="0" w:firstLine="0"/>
              <w:rPr>
                <w:rFonts w:ascii="Verdana Pro" w:hAnsi="Verdana Pro"/>
                <w:sz w:val="16"/>
                <w:szCs w:val="16"/>
              </w:rPr>
            </w:pPr>
            <w:r w:rsidRPr="006E73CE">
              <w:rPr>
                <w:rFonts w:ascii="Verdana Pro" w:hAnsi="Verdana Pro"/>
                <w:sz w:val="16"/>
                <w:szCs w:val="16"/>
              </w:rPr>
              <w:t>28/08/2019</w:t>
            </w:r>
          </w:p>
        </w:tc>
        <w:tc>
          <w:tcPr>
            <w:tcW w:w="1304" w:type="dxa"/>
          </w:tcPr>
          <w:p w14:paraId="0E32DCD7" w14:textId="77777777" w:rsidR="00887563" w:rsidRPr="006E73CE" w:rsidRDefault="00887563" w:rsidP="00293917">
            <w:pPr>
              <w:spacing w:before="60" w:after="60"/>
              <w:ind w:left="0" w:firstLine="0"/>
              <w:rPr>
                <w:rFonts w:ascii="Verdana Pro" w:hAnsi="Verdana Pro"/>
                <w:sz w:val="16"/>
                <w:szCs w:val="16"/>
              </w:rPr>
            </w:pPr>
            <w:r w:rsidRPr="006E73CE">
              <w:rPr>
                <w:rFonts w:ascii="Verdana Pro" w:hAnsi="Verdana Pro"/>
                <w:sz w:val="16"/>
                <w:szCs w:val="16"/>
              </w:rPr>
              <w:t>0.7.1</w:t>
            </w:r>
          </w:p>
        </w:tc>
        <w:tc>
          <w:tcPr>
            <w:tcW w:w="6350" w:type="dxa"/>
          </w:tcPr>
          <w:p w14:paraId="504ED99B" w14:textId="77777777" w:rsidR="00887563" w:rsidRPr="006E73CE" w:rsidRDefault="00887563" w:rsidP="00293917">
            <w:pPr>
              <w:spacing w:before="60" w:after="60"/>
              <w:ind w:left="0" w:firstLine="0"/>
              <w:rPr>
                <w:rFonts w:ascii="Verdana Pro" w:hAnsi="Verdana Pro"/>
                <w:sz w:val="16"/>
                <w:szCs w:val="16"/>
              </w:rPr>
            </w:pPr>
            <w:r w:rsidRPr="006E73CE">
              <w:rPr>
                <w:rFonts w:ascii="Verdana Pro" w:hAnsi="Verdana Pro"/>
                <w:sz w:val="16"/>
                <w:szCs w:val="16"/>
              </w:rPr>
              <w:t>Additions following second vendor teleconference.</w:t>
            </w:r>
          </w:p>
        </w:tc>
      </w:tr>
      <w:tr w:rsidR="00D234B7" w:rsidRPr="002266EB" w14:paraId="56D42F88" w14:textId="77777777" w:rsidTr="006E73CE">
        <w:tc>
          <w:tcPr>
            <w:tcW w:w="1271" w:type="dxa"/>
          </w:tcPr>
          <w:p w14:paraId="7D363918" w14:textId="77777777" w:rsidR="00D234B7" w:rsidRPr="006E73CE" w:rsidRDefault="00D234B7" w:rsidP="00293917">
            <w:pPr>
              <w:spacing w:before="60" w:after="60"/>
              <w:ind w:left="0" w:firstLine="0"/>
              <w:rPr>
                <w:rFonts w:ascii="Verdana Pro" w:hAnsi="Verdana Pro"/>
                <w:sz w:val="16"/>
                <w:szCs w:val="16"/>
              </w:rPr>
            </w:pPr>
            <w:r w:rsidRPr="006E73CE">
              <w:rPr>
                <w:rFonts w:ascii="Verdana Pro" w:hAnsi="Verdana Pro"/>
                <w:sz w:val="16"/>
                <w:szCs w:val="16"/>
              </w:rPr>
              <w:t>10/09/2019</w:t>
            </w:r>
          </w:p>
        </w:tc>
        <w:tc>
          <w:tcPr>
            <w:tcW w:w="1304" w:type="dxa"/>
          </w:tcPr>
          <w:p w14:paraId="24393D24" w14:textId="77777777" w:rsidR="00D234B7" w:rsidRPr="006E73CE" w:rsidRDefault="00D234B7" w:rsidP="00293917">
            <w:pPr>
              <w:spacing w:before="60" w:after="60"/>
              <w:ind w:left="0" w:firstLine="0"/>
              <w:rPr>
                <w:rFonts w:ascii="Verdana Pro" w:hAnsi="Verdana Pro"/>
                <w:sz w:val="16"/>
                <w:szCs w:val="16"/>
              </w:rPr>
            </w:pPr>
            <w:r w:rsidRPr="006E73CE">
              <w:rPr>
                <w:rFonts w:ascii="Verdana Pro" w:hAnsi="Verdana Pro"/>
                <w:sz w:val="16"/>
                <w:szCs w:val="16"/>
              </w:rPr>
              <w:t>0.</w:t>
            </w:r>
            <w:r w:rsidR="000233D6" w:rsidRPr="006E73CE">
              <w:rPr>
                <w:rFonts w:ascii="Verdana Pro" w:hAnsi="Verdana Pro"/>
                <w:sz w:val="16"/>
                <w:szCs w:val="16"/>
              </w:rPr>
              <w:t>8</w:t>
            </w:r>
          </w:p>
        </w:tc>
        <w:tc>
          <w:tcPr>
            <w:tcW w:w="6350" w:type="dxa"/>
          </w:tcPr>
          <w:p w14:paraId="42EB4573" w14:textId="77777777" w:rsidR="00D234B7" w:rsidRPr="006E73CE" w:rsidRDefault="00D234B7" w:rsidP="00293917">
            <w:pPr>
              <w:spacing w:before="60" w:after="60"/>
              <w:ind w:left="0" w:firstLine="0"/>
              <w:rPr>
                <w:rFonts w:ascii="Verdana Pro" w:hAnsi="Verdana Pro"/>
                <w:sz w:val="16"/>
                <w:szCs w:val="16"/>
              </w:rPr>
            </w:pPr>
            <w:r w:rsidRPr="006E73CE">
              <w:rPr>
                <w:rFonts w:ascii="Verdana Pro" w:hAnsi="Verdana Pro"/>
                <w:sz w:val="16"/>
                <w:szCs w:val="16"/>
              </w:rPr>
              <w:t xml:space="preserve">Additions following identification of further legislative amendments. </w:t>
            </w:r>
          </w:p>
        </w:tc>
      </w:tr>
      <w:tr w:rsidR="000A5BAB" w:rsidRPr="002266EB" w14:paraId="66958499"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25305DAF" w14:textId="77777777" w:rsidR="000A5BAB" w:rsidRPr="006E73CE" w:rsidRDefault="000A5BAB" w:rsidP="00293917">
            <w:pPr>
              <w:spacing w:before="60" w:after="60"/>
              <w:ind w:left="0" w:firstLine="0"/>
              <w:rPr>
                <w:rFonts w:ascii="Verdana Pro" w:hAnsi="Verdana Pro"/>
                <w:sz w:val="16"/>
                <w:szCs w:val="16"/>
              </w:rPr>
            </w:pPr>
            <w:r w:rsidRPr="006E73CE">
              <w:rPr>
                <w:rFonts w:ascii="Verdana Pro" w:hAnsi="Verdana Pro"/>
                <w:sz w:val="16"/>
                <w:szCs w:val="16"/>
              </w:rPr>
              <w:t>24/09/2019</w:t>
            </w:r>
          </w:p>
        </w:tc>
        <w:tc>
          <w:tcPr>
            <w:tcW w:w="1304" w:type="dxa"/>
          </w:tcPr>
          <w:p w14:paraId="4B86BDEB" w14:textId="77777777" w:rsidR="000A5BAB" w:rsidRPr="006E73CE" w:rsidRDefault="000A5BAB" w:rsidP="00293917">
            <w:pPr>
              <w:spacing w:before="60" w:after="60"/>
              <w:ind w:left="0" w:firstLine="0"/>
              <w:rPr>
                <w:rFonts w:ascii="Verdana Pro" w:hAnsi="Verdana Pro"/>
                <w:sz w:val="16"/>
                <w:szCs w:val="16"/>
              </w:rPr>
            </w:pPr>
            <w:r w:rsidRPr="006E73CE">
              <w:rPr>
                <w:rFonts w:ascii="Verdana Pro" w:hAnsi="Verdana Pro"/>
                <w:sz w:val="16"/>
                <w:szCs w:val="16"/>
              </w:rPr>
              <w:t>0.9</w:t>
            </w:r>
          </w:p>
        </w:tc>
        <w:tc>
          <w:tcPr>
            <w:tcW w:w="6350" w:type="dxa"/>
          </w:tcPr>
          <w:p w14:paraId="0B30B4D2" w14:textId="77777777" w:rsidR="000A5BAB" w:rsidRPr="006E73CE" w:rsidRDefault="000A5BAB" w:rsidP="00293917">
            <w:pPr>
              <w:spacing w:before="60" w:after="60"/>
              <w:ind w:left="0" w:firstLine="0"/>
              <w:rPr>
                <w:rFonts w:ascii="Verdana Pro" w:hAnsi="Verdana Pro"/>
                <w:sz w:val="16"/>
                <w:szCs w:val="16"/>
              </w:rPr>
            </w:pPr>
            <w:r w:rsidRPr="006E73CE">
              <w:rPr>
                <w:rFonts w:ascii="Verdana Pro" w:hAnsi="Verdana Pro"/>
                <w:sz w:val="16"/>
                <w:szCs w:val="16"/>
              </w:rPr>
              <w:t>Updates following feedback from ACSQHC</w:t>
            </w:r>
          </w:p>
        </w:tc>
      </w:tr>
      <w:tr w:rsidR="003269C5" w:rsidRPr="002266EB" w14:paraId="6C292FBB" w14:textId="77777777" w:rsidTr="006E73CE">
        <w:tc>
          <w:tcPr>
            <w:tcW w:w="1271" w:type="dxa"/>
          </w:tcPr>
          <w:p w14:paraId="110CD726" w14:textId="77777777" w:rsidR="003269C5" w:rsidRPr="006E73CE" w:rsidRDefault="003269C5" w:rsidP="00293917">
            <w:pPr>
              <w:spacing w:before="60" w:after="60"/>
              <w:ind w:left="0" w:firstLine="0"/>
              <w:rPr>
                <w:rFonts w:ascii="Verdana Pro" w:hAnsi="Verdana Pro"/>
                <w:sz w:val="16"/>
                <w:szCs w:val="16"/>
              </w:rPr>
            </w:pPr>
            <w:r w:rsidRPr="006E73CE">
              <w:rPr>
                <w:rFonts w:ascii="Verdana Pro" w:hAnsi="Verdana Pro"/>
                <w:sz w:val="16"/>
                <w:szCs w:val="16"/>
              </w:rPr>
              <w:t>28/10/2019</w:t>
            </w:r>
          </w:p>
        </w:tc>
        <w:tc>
          <w:tcPr>
            <w:tcW w:w="1304" w:type="dxa"/>
          </w:tcPr>
          <w:p w14:paraId="34A6800F" w14:textId="77777777" w:rsidR="003269C5" w:rsidRPr="006E73CE" w:rsidRDefault="003269C5" w:rsidP="00293917">
            <w:pPr>
              <w:spacing w:before="60" w:after="60"/>
              <w:ind w:left="0" w:firstLine="0"/>
              <w:rPr>
                <w:rFonts w:ascii="Verdana Pro" w:hAnsi="Verdana Pro"/>
                <w:sz w:val="16"/>
                <w:szCs w:val="16"/>
              </w:rPr>
            </w:pPr>
            <w:r w:rsidRPr="006E73CE">
              <w:rPr>
                <w:rFonts w:ascii="Verdana Pro" w:hAnsi="Verdana Pro"/>
                <w:sz w:val="16"/>
                <w:szCs w:val="16"/>
              </w:rPr>
              <w:t>1.0</w:t>
            </w:r>
          </w:p>
        </w:tc>
        <w:tc>
          <w:tcPr>
            <w:tcW w:w="6350" w:type="dxa"/>
          </w:tcPr>
          <w:p w14:paraId="728B7C37" w14:textId="77777777" w:rsidR="003269C5" w:rsidRPr="006E73CE" w:rsidRDefault="003269C5" w:rsidP="00293917">
            <w:pPr>
              <w:spacing w:before="60" w:after="60"/>
              <w:ind w:left="0" w:firstLine="0"/>
              <w:rPr>
                <w:rFonts w:ascii="Verdana Pro" w:hAnsi="Verdana Pro"/>
                <w:sz w:val="16"/>
                <w:szCs w:val="16"/>
              </w:rPr>
            </w:pPr>
            <w:r w:rsidRPr="006E73CE">
              <w:rPr>
                <w:rFonts w:ascii="Verdana Pro" w:hAnsi="Verdana Pro"/>
                <w:sz w:val="16"/>
                <w:szCs w:val="16"/>
              </w:rPr>
              <w:t>Document updated for general release following release of the legislative amendments.</w:t>
            </w:r>
          </w:p>
        </w:tc>
      </w:tr>
      <w:tr w:rsidR="003269C5" w:rsidRPr="002266EB" w14:paraId="2158F031"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03190C8D" w14:textId="77777777" w:rsidR="003269C5" w:rsidRPr="006E73CE" w:rsidRDefault="003269C5" w:rsidP="00293917">
            <w:pPr>
              <w:spacing w:before="60" w:after="60"/>
              <w:ind w:left="0" w:firstLine="0"/>
              <w:rPr>
                <w:rFonts w:ascii="Verdana Pro" w:hAnsi="Verdana Pro"/>
                <w:sz w:val="16"/>
                <w:szCs w:val="16"/>
              </w:rPr>
            </w:pPr>
            <w:r w:rsidRPr="006E73CE">
              <w:rPr>
                <w:rFonts w:ascii="Verdana Pro" w:hAnsi="Verdana Pro"/>
                <w:sz w:val="16"/>
                <w:szCs w:val="16"/>
              </w:rPr>
              <w:t>31/10/2019</w:t>
            </w:r>
          </w:p>
        </w:tc>
        <w:tc>
          <w:tcPr>
            <w:tcW w:w="1304" w:type="dxa"/>
          </w:tcPr>
          <w:p w14:paraId="73033B30" w14:textId="77777777" w:rsidR="003269C5" w:rsidRPr="006E73CE" w:rsidRDefault="003269C5" w:rsidP="00293917">
            <w:pPr>
              <w:spacing w:before="60" w:after="60"/>
              <w:ind w:left="0" w:firstLine="0"/>
              <w:rPr>
                <w:rFonts w:ascii="Verdana Pro" w:hAnsi="Verdana Pro"/>
                <w:sz w:val="16"/>
                <w:szCs w:val="16"/>
              </w:rPr>
            </w:pPr>
            <w:r w:rsidRPr="006E73CE">
              <w:rPr>
                <w:rFonts w:ascii="Verdana Pro" w:hAnsi="Verdana Pro"/>
                <w:sz w:val="16"/>
                <w:szCs w:val="16"/>
              </w:rPr>
              <w:t>1.1</w:t>
            </w:r>
          </w:p>
        </w:tc>
        <w:tc>
          <w:tcPr>
            <w:tcW w:w="6350" w:type="dxa"/>
          </w:tcPr>
          <w:p w14:paraId="5E028298" w14:textId="77777777" w:rsidR="003269C5" w:rsidRPr="006E73CE" w:rsidRDefault="003269C5" w:rsidP="00293917">
            <w:pPr>
              <w:spacing w:before="60" w:after="60"/>
              <w:ind w:left="0" w:firstLine="0"/>
              <w:rPr>
                <w:rFonts w:ascii="Verdana Pro" w:hAnsi="Verdana Pro"/>
                <w:sz w:val="16"/>
                <w:szCs w:val="16"/>
              </w:rPr>
            </w:pPr>
            <w:r w:rsidRPr="006E73CE">
              <w:rPr>
                <w:rFonts w:ascii="Verdana Pro" w:hAnsi="Verdana Pro"/>
                <w:sz w:val="16"/>
                <w:szCs w:val="16"/>
              </w:rPr>
              <w:t>Include references to DVA legislation</w:t>
            </w:r>
          </w:p>
        </w:tc>
      </w:tr>
      <w:tr w:rsidR="00A31DB9" w:rsidRPr="002266EB" w14:paraId="38924CDF" w14:textId="77777777" w:rsidTr="006E73CE">
        <w:tc>
          <w:tcPr>
            <w:tcW w:w="1271" w:type="dxa"/>
          </w:tcPr>
          <w:p w14:paraId="6C033BA6" w14:textId="77777777" w:rsidR="00A31DB9" w:rsidRPr="006E73CE" w:rsidRDefault="00A31DB9" w:rsidP="00293917">
            <w:pPr>
              <w:spacing w:before="60" w:after="60"/>
              <w:ind w:left="0" w:firstLine="0"/>
              <w:rPr>
                <w:rFonts w:ascii="Verdana Pro" w:hAnsi="Verdana Pro"/>
                <w:sz w:val="16"/>
                <w:szCs w:val="16"/>
              </w:rPr>
            </w:pPr>
            <w:r w:rsidRPr="006E73CE">
              <w:rPr>
                <w:rFonts w:ascii="Verdana Pro" w:hAnsi="Verdana Pro"/>
                <w:sz w:val="16"/>
                <w:szCs w:val="16"/>
              </w:rPr>
              <w:t>7/11/2019</w:t>
            </w:r>
          </w:p>
        </w:tc>
        <w:tc>
          <w:tcPr>
            <w:tcW w:w="1304" w:type="dxa"/>
          </w:tcPr>
          <w:p w14:paraId="531443D1" w14:textId="77777777" w:rsidR="00A31DB9" w:rsidRPr="006E73CE" w:rsidRDefault="00A31DB9" w:rsidP="00293917">
            <w:pPr>
              <w:spacing w:before="60" w:after="60"/>
              <w:ind w:left="0" w:firstLine="0"/>
              <w:rPr>
                <w:rFonts w:ascii="Verdana Pro" w:hAnsi="Verdana Pro"/>
                <w:sz w:val="16"/>
                <w:szCs w:val="16"/>
              </w:rPr>
            </w:pPr>
            <w:r w:rsidRPr="006E73CE">
              <w:rPr>
                <w:rFonts w:ascii="Verdana Pro" w:hAnsi="Verdana Pro"/>
                <w:sz w:val="16"/>
                <w:szCs w:val="16"/>
              </w:rPr>
              <w:t>1.2</w:t>
            </w:r>
          </w:p>
        </w:tc>
        <w:tc>
          <w:tcPr>
            <w:tcW w:w="6350" w:type="dxa"/>
          </w:tcPr>
          <w:p w14:paraId="4B7A9426" w14:textId="77777777" w:rsidR="00620895" w:rsidRPr="006E73CE" w:rsidRDefault="00A31DB9" w:rsidP="00293917">
            <w:pPr>
              <w:spacing w:before="60" w:after="60"/>
              <w:ind w:left="0" w:firstLine="0"/>
              <w:rPr>
                <w:rFonts w:ascii="Verdana Pro" w:hAnsi="Verdana Pro"/>
                <w:sz w:val="16"/>
                <w:szCs w:val="16"/>
              </w:rPr>
            </w:pPr>
            <w:r w:rsidRPr="006E73CE">
              <w:rPr>
                <w:rFonts w:ascii="Verdana Pro" w:hAnsi="Verdana Pro"/>
                <w:sz w:val="16"/>
                <w:szCs w:val="16"/>
              </w:rPr>
              <w:t>Include updates from final DoH review of the formal release version</w:t>
            </w:r>
          </w:p>
        </w:tc>
      </w:tr>
      <w:tr w:rsidR="00620895" w:rsidRPr="002266EB" w14:paraId="77B396D3"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5F9BE366" w14:textId="77777777" w:rsidR="00620895" w:rsidRPr="006E73CE" w:rsidRDefault="00620895" w:rsidP="00293917">
            <w:pPr>
              <w:spacing w:before="60" w:after="60"/>
              <w:ind w:left="0" w:firstLine="0"/>
              <w:rPr>
                <w:rFonts w:ascii="Verdana Pro" w:hAnsi="Verdana Pro"/>
                <w:sz w:val="16"/>
                <w:szCs w:val="16"/>
              </w:rPr>
            </w:pPr>
            <w:r w:rsidRPr="006E73CE">
              <w:rPr>
                <w:rFonts w:ascii="Verdana Pro" w:hAnsi="Verdana Pro"/>
                <w:sz w:val="16"/>
                <w:szCs w:val="16"/>
              </w:rPr>
              <w:t>28/11/2019</w:t>
            </w:r>
          </w:p>
        </w:tc>
        <w:tc>
          <w:tcPr>
            <w:tcW w:w="1304" w:type="dxa"/>
          </w:tcPr>
          <w:p w14:paraId="7A6F9878" w14:textId="77777777" w:rsidR="00620895" w:rsidRPr="006E73CE" w:rsidRDefault="00620895" w:rsidP="00293917">
            <w:pPr>
              <w:spacing w:before="60" w:after="60"/>
              <w:ind w:left="0" w:firstLine="0"/>
              <w:rPr>
                <w:rFonts w:ascii="Verdana Pro" w:hAnsi="Verdana Pro"/>
                <w:sz w:val="16"/>
                <w:szCs w:val="16"/>
              </w:rPr>
            </w:pPr>
            <w:r w:rsidRPr="006E73CE">
              <w:rPr>
                <w:rFonts w:ascii="Verdana Pro" w:hAnsi="Verdana Pro"/>
                <w:sz w:val="16"/>
                <w:szCs w:val="16"/>
              </w:rPr>
              <w:t>1.3</w:t>
            </w:r>
          </w:p>
        </w:tc>
        <w:tc>
          <w:tcPr>
            <w:tcW w:w="6350" w:type="dxa"/>
          </w:tcPr>
          <w:p w14:paraId="26391A53" w14:textId="77777777" w:rsidR="00620895" w:rsidRPr="006E73CE" w:rsidRDefault="00620895" w:rsidP="00293917">
            <w:pPr>
              <w:spacing w:before="60" w:after="60"/>
              <w:ind w:left="0" w:firstLine="0"/>
              <w:rPr>
                <w:rFonts w:ascii="Verdana Pro" w:hAnsi="Verdana Pro"/>
                <w:sz w:val="16"/>
                <w:szCs w:val="16"/>
              </w:rPr>
            </w:pPr>
            <w:r w:rsidRPr="006E73CE">
              <w:rPr>
                <w:rFonts w:ascii="Verdana Pro" w:hAnsi="Verdana Pro"/>
                <w:sz w:val="16"/>
                <w:szCs w:val="16"/>
              </w:rPr>
              <w:t xml:space="preserve">Includes feedback from ACSQHC Chaired AIP Working Group Meeting </w:t>
            </w:r>
            <w:r w:rsidR="00C343AD" w:rsidRPr="006E73CE">
              <w:rPr>
                <w:rFonts w:ascii="Verdana Pro" w:hAnsi="Verdana Pro"/>
                <w:sz w:val="16"/>
                <w:szCs w:val="16"/>
              </w:rPr>
              <w:t xml:space="preserve">No </w:t>
            </w:r>
            <w:r w:rsidRPr="006E73CE">
              <w:rPr>
                <w:rFonts w:ascii="Verdana Pro" w:hAnsi="Verdana Pro"/>
                <w:sz w:val="16"/>
                <w:szCs w:val="16"/>
              </w:rPr>
              <w:t>3</w:t>
            </w:r>
          </w:p>
        </w:tc>
      </w:tr>
      <w:tr w:rsidR="005204E5" w:rsidRPr="002266EB" w14:paraId="7E5F87D2" w14:textId="77777777" w:rsidTr="006E73CE">
        <w:tc>
          <w:tcPr>
            <w:tcW w:w="1271" w:type="dxa"/>
          </w:tcPr>
          <w:p w14:paraId="3FAE1117" w14:textId="77777777" w:rsidR="005204E5" w:rsidRPr="006E73CE" w:rsidRDefault="005204E5" w:rsidP="00293917">
            <w:pPr>
              <w:spacing w:before="60" w:after="60"/>
              <w:ind w:left="0" w:firstLine="0"/>
              <w:rPr>
                <w:rFonts w:ascii="Verdana Pro" w:hAnsi="Verdana Pro"/>
                <w:sz w:val="16"/>
                <w:szCs w:val="16"/>
              </w:rPr>
            </w:pPr>
            <w:r w:rsidRPr="006E73CE">
              <w:rPr>
                <w:rFonts w:ascii="Verdana Pro" w:hAnsi="Verdana Pro"/>
                <w:sz w:val="16"/>
                <w:szCs w:val="16"/>
              </w:rPr>
              <w:t>5/12/2019</w:t>
            </w:r>
          </w:p>
        </w:tc>
        <w:tc>
          <w:tcPr>
            <w:tcW w:w="1304" w:type="dxa"/>
          </w:tcPr>
          <w:p w14:paraId="13D283B0" w14:textId="77777777" w:rsidR="005204E5" w:rsidRPr="006E73CE" w:rsidRDefault="005204E5" w:rsidP="00293917">
            <w:pPr>
              <w:spacing w:before="60" w:after="60"/>
              <w:ind w:left="0" w:firstLine="0"/>
              <w:rPr>
                <w:rFonts w:ascii="Verdana Pro" w:hAnsi="Verdana Pro"/>
                <w:sz w:val="16"/>
                <w:szCs w:val="16"/>
              </w:rPr>
            </w:pPr>
            <w:r w:rsidRPr="006E73CE">
              <w:rPr>
                <w:rFonts w:ascii="Verdana Pro" w:hAnsi="Verdana Pro"/>
                <w:sz w:val="16"/>
                <w:szCs w:val="16"/>
              </w:rPr>
              <w:t>1.4</w:t>
            </w:r>
          </w:p>
        </w:tc>
        <w:tc>
          <w:tcPr>
            <w:tcW w:w="6350" w:type="dxa"/>
          </w:tcPr>
          <w:p w14:paraId="0E12B2BC" w14:textId="77777777" w:rsidR="005204E5" w:rsidRPr="006E73CE" w:rsidRDefault="002D3416" w:rsidP="00293917">
            <w:pPr>
              <w:spacing w:before="60" w:after="60"/>
              <w:ind w:left="0" w:firstLine="0"/>
              <w:rPr>
                <w:rFonts w:ascii="Verdana Pro" w:hAnsi="Verdana Pro"/>
                <w:sz w:val="16"/>
                <w:szCs w:val="16"/>
              </w:rPr>
            </w:pPr>
            <w:r w:rsidRPr="006E73CE">
              <w:rPr>
                <w:rFonts w:ascii="Verdana Pro" w:hAnsi="Verdana Pro"/>
                <w:sz w:val="16"/>
                <w:szCs w:val="16"/>
              </w:rPr>
              <w:t xml:space="preserve">Inclusion </w:t>
            </w:r>
            <w:r w:rsidR="005204E5" w:rsidRPr="006E73CE">
              <w:rPr>
                <w:rFonts w:ascii="Verdana Pro" w:hAnsi="Verdana Pro"/>
                <w:sz w:val="16"/>
                <w:szCs w:val="16"/>
              </w:rPr>
              <w:t>of ACSQHC changes</w:t>
            </w:r>
            <w:r w:rsidR="002B5C25" w:rsidRPr="006E73CE">
              <w:rPr>
                <w:rFonts w:ascii="Verdana Pro" w:hAnsi="Verdana Pro"/>
                <w:sz w:val="16"/>
                <w:szCs w:val="16"/>
              </w:rPr>
              <w:t xml:space="preserve"> </w:t>
            </w:r>
            <w:r w:rsidRPr="006E73CE">
              <w:rPr>
                <w:rFonts w:ascii="Verdana Pro" w:hAnsi="Verdana Pro"/>
                <w:sz w:val="16"/>
                <w:szCs w:val="16"/>
              </w:rPr>
              <w:t xml:space="preserve">clarified </w:t>
            </w:r>
            <w:r w:rsidR="002B5C25" w:rsidRPr="006E73CE">
              <w:rPr>
                <w:rFonts w:ascii="Verdana Pro" w:hAnsi="Verdana Pro"/>
                <w:sz w:val="16"/>
                <w:szCs w:val="16"/>
              </w:rPr>
              <w:t>by DoH</w:t>
            </w:r>
          </w:p>
        </w:tc>
      </w:tr>
      <w:tr w:rsidR="0026788E" w:rsidRPr="002266EB" w14:paraId="3C2C93C1"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31EA85F7" w14:textId="77777777" w:rsidR="0026788E" w:rsidRPr="006E73CE" w:rsidRDefault="0026788E" w:rsidP="00293917">
            <w:pPr>
              <w:spacing w:before="60" w:after="60"/>
              <w:ind w:left="0" w:firstLine="0"/>
              <w:rPr>
                <w:rFonts w:ascii="Verdana Pro" w:hAnsi="Verdana Pro"/>
                <w:sz w:val="16"/>
                <w:szCs w:val="16"/>
              </w:rPr>
            </w:pPr>
            <w:r w:rsidRPr="006E73CE">
              <w:rPr>
                <w:rFonts w:ascii="Verdana Pro" w:hAnsi="Verdana Pro"/>
                <w:sz w:val="16"/>
                <w:szCs w:val="16"/>
              </w:rPr>
              <w:t>29/01/2020</w:t>
            </w:r>
          </w:p>
        </w:tc>
        <w:tc>
          <w:tcPr>
            <w:tcW w:w="1304" w:type="dxa"/>
          </w:tcPr>
          <w:p w14:paraId="0D22262E" w14:textId="77777777" w:rsidR="0026788E" w:rsidRPr="006E73CE" w:rsidRDefault="0026788E" w:rsidP="00293917">
            <w:pPr>
              <w:spacing w:before="60" w:after="60"/>
              <w:ind w:left="0" w:firstLine="0"/>
              <w:rPr>
                <w:rFonts w:ascii="Verdana Pro" w:hAnsi="Verdana Pro"/>
                <w:sz w:val="16"/>
                <w:szCs w:val="16"/>
              </w:rPr>
            </w:pPr>
            <w:r w:rsidRPr="006E73CE">
              <w:rPr>
                <w:rFonts w:ascii="Verdana Pro" w:hAnsi="Verdana Pro"/>
                <w:sz w:val="16"/>
                <w:szCs w:val="16"/>
              </w:rPr>
              <w:t>1.5</w:t>
            </w:r>
          </w:p>
        </w:tc>
        <w:tc>
          <w:tcPr>
            <w:tcW w:w="6350" w:type="dxa"/>
          </w:tcPr>
          <w:p w14:paraId="721F7731" w14:textId="77777777" w:rsidR="0026788E" w:rsidRPr="006E73CE" w:rsidRDefault="0026788E" w:rsidP="00293917">
            <w:pPr>
              <w:spacing w:before="60" w:after="60"/>
              <w:ind w:left="0" w:firstLine="0"/>
              <w:rPr>
                <w:rFonts w:ascii="Verdana Pro" w:hAnsi="Verdana Pro"/>
                <w:sz w:val="16"/>
                <w:szCs w:val="16"/>
              </w:rPr>
            </w:pPr>
            <w:r w:rsidRPr="006E73CE">
              <w:rPr>
                <w:rFonts w:ascii="Verdana Pro" w:hAnsi="Verdana Pro"/>
                <w:sz w:val="16"/>
                <w:szCs w:val="16"/>
              </w:rPr>
              <w:t xml:space="preserve">Clarification of "free text" </w:t>
            </w:r>
            <w:r w:rsidR="0048511F" w:rsidRPr="006E73CE">
              <w:rPr>
                <w:rFonts w:ascii="Verdana Pro" w:hAnsi="Verdana Pro"/>
                <w:sz w:val="16"/>
                <w:szCs w:val="16"/>
              </w:rPr>
              <w:t xml:space="preserve">requirement and </w:t>
            </w:r>
            <w:r w:rsidR="00C01196" w:rsidRPr="006E73CE">
              <w:rPr>
                <w:rFonts w:ascii="Verdana Pro" w:hAnsi="Verdana Pro"/>
                <w:sz w:val="16"/>
                <w:szCs w:val="16"/>
              </w:rPr>
              <w:t xml:space="preserve">several </w:t>
            </w:r>
            <w:r w:rsidR="0048511F" w:rsidRPr="006E73CE">
              <w:rPr>
                <w:rFonts w:ascii="Verdana Pro" w:hAnsi="Verdana Pro"/>
                <w:sz w:val="16"/>
                <w:szCs w:val="16"/>
              </w:rPr>
              <w:t xml:space="preserve">other issues raised </w:t>
            </w:r>
            <w:r w:rsidR="00C01196" w:rsidRPr="006E73CE">
              <w:rPr>
                <w:rFonts w:ascii="Verdana Pro" w:hAnsi="Verdana Pro"/>
                <w:sz w:val="16"/>
                <w:szCs w:val="16"/>
              </w:rPr>
              <w:t>following</w:t>
            </w:r>
            <w:r w:rsidR="0048511F" w:rsidRPr="006E73CE">
              <w:rPr>
                <w:rFonts w:ascii="Verdana Pro" w:hAnsi="Verdana Pro"/>
                <w:sz w:val="16"/>
                <w:szCs w:val="16"/>
              </w:rPr>
              <w:t xml:space="preserve"> </w:t>
            </w:r>
            <w:r w:rsidR="00C01196" w:rsidRPr="006E73CE">
              <w:rPr>
                <w:rFonts w:ascii="Verdana Pro" w:hAnsi="Verdana Pro"/>
                <w:sz w:val="16"/>
                <w:szCs w:val="16"/>
              </w:rPr>
              <w:t>13-</w:t>
            </w:r>
            <w:r w:rsidR="0048511F" w:rsidRPr="006E73CE">
              <w:rPr>
                <w:rFonts w:ascii="Verdana Pro" w:hAnsi="Verdana Pro"/>
                <w:sz w:val="16"/>
                <w:szCs w:val="16"/>
              </w:rPr>
              <w:t>Jan</w:t>
            </w:r>
            <w:r w:rsidR="00C01196" w:rsidRPr="006E73CE">
              <w:rPr>
                <w:rFonts w:ascii="Verdana Pro" w:hAnsi="Verdana Pro"/>
                <w:sz w:val="16"/>
                <w:szCs w:val="16"/>
              </w:rPr>
              <w:t>-</w:t>
            </w:r>
            <w:r w:rsidR="0048511F" w:rsidRPr="006E73CE">
              <w:rPr>
                <w:rFonts w:ascii="Verdana Pro" w:hAnsi="Verdana Pro"/>
                <w:sz w:val="16"/>
                <w:szCs w:val="16"/>
              </w:rPr>
              <w:t>20 AC</w:t>
            </w:r>
            <w:r w:rsidR="00C01196" w:rsidRPr="006E73CE">
              <w:rPr>
                <w:rFonts w:ascii="Verdana Pro" w:hAnsi="Verdana Pro"/>
                <w:sz w:val="16"/>
                <w:szCs w:val="16"/>
              </w:rPr>
              <w:t>S</w:t>
            </w:r>
            <w:r w:rsidR="0048511F" w:rsidRPr="006E73CE">
              <w:rPr>
                <w:rFonts w:ascii="Verdana Pro" w:hAnsi="Verdana Pro"/>
                <w:sz w:val="16"/>
                <w:szCs w:val="16"/>
              </w:rPr>
              <w:t>QH</w:t>
            </w:r>
            <w:r w:rsidR="00C01196" w:rsidRPr="006E73CE">
              <w:rPr>
                <w:rFonts w:ascii="Verdana Pro" w:hAnsi="Verdana Pro"/>
                <w:sz w:val="16"/>
                <w:szCs w:val="16"/>
              </w:rPr>
              <w:t>C</w:t>
            </w:r>
            <w:r w:rsidR="0048511F" w:rsidRPr="006E73CE">
              <w:rPr>
                <w:rFonts w:ascii="Verdana Pro" w:hAnsi="Verdana Pro"/>
                <w:sz w:val="16"/>
                <w:szCs w:val="16"/>
              </w:rPr>
              <w:t xml:space="preserve"> TC.</w:t>
            </w:r>
          </w:p>
        </w:tc>
      </w:tr>
      <w:tr w:rsidR="007656C3" w:rsidRPr="002266EB" w14:paraId="6E12737B" w14:textId="77777777" w:rsidTr="006E73CE">
        <w:tc>
          <w:tcPr>
            <w:tcW w:w="1271" w:type="dxa"/>
          </w:tcPr>
          <w:p w14:paraId="152D1DD2" w14:textId="77777777" w:rsidR="007656C3" w:rsidRPr="006E73CE" w:rsidRDefault="007656C3" w:rsidP="00293917">
            <w:pPr>
              <w:spacing w:before="60" w:after="60"/>
              <w:ind w:left="0" w:firstLine="0"/>
              <w:rPr>
                <w:rFonts w:ascii="Verdana Pro" w:hAnsi="Verdana Pro"/>
                <w:sz w:val="16"/>
                <w:szCs w:val="16"/>
              </w:rPr>
            </w:pPr>
            <w:r w:rsidRPr="006E73CE">
              <w:rPr>
                <w:rFonts w:ascii="Verdana Pro" w:hAnsi="Verdana Pro"/>
                <w:sz w:val="16"/>
                <w:szCs w:val="16"/>
              </w:rPr>
              <w:t>12/02/2020</w:t>
            </w:r>
          </w:p>
        </w:tc>
        <w:tc>
          <w:tcPr>
            <w:tcW w:w="1304" w:type="dxa"/>
          </w:tcPr>
          <w:p w14:paraId="7EDDB86F" w14:textId="77777777" w:rsidR="007656C3" w:rsidRPr="006E73CE" w:rsidRDefault="007656C3" w:rsidP="00293917">
            <w:pPr>
              <w:spacing w:before="60" w:after="60"/>
              <w:ind w:left="0" w:firstLine="0"/>
              <w:rPr>
                <w:rFonts w:ascii="Verdana Pro" w:hAnsi="Verdana Pro"/>
                <w:sz w:val="16"/>
                <w:szCs w:val="16"/>
              </w:rPr>
            </w:pPr>
            <w:r w:rsidRPr="006E73CE">
              <w:rPr>
                <w:rFonts w:ascii="Verdana Pro" w:hAnsi="Verdana Pro"/>
                <w:sz w:val="16"/>
                <w:szCs w:val="16"/>
              </w:rPr>
              <w:t>1.6</w:t>
            </w:r>
          </w:p>
        </w:tc>
        <w:tc>
          <w:tcPr>
            <w:tcW w:w="6350" w:type="dxa"/>
          </w:tcPr>
          <w:p w14:paraId="1AF96E8A" w14:textId="77777777" w:rsidR="007656C3" w:rsidRPr="006E73CE" w:rsidRDefault="007656C3" w:rsidP="00293917">
            <w:pPr>
              <w:spacing w:before="60" w:after="60"/>
              <w:ind w:left="0" w:firstLine="0"/>
              <w:rPr>
                <w:rFonts w:ascii="Verdana Pro" w:hAnsi="Verdana Pro"/>
                <w:sz w:val="16"/>
                <w:szCs w:val="16"/>
              </w:rPr>
            </w:pPr>
            <w:r w:rsidRPr="006E73CE">
              <w:rPr>
                <w:rFonts w:ascii="Verdana Pro" w:hAnsi="Verdana Pro"/>
                <w:sz w:val="16"/>
                <w:szCs w:val="16"/>
              </w:rPr>
              <w:t>Clarify electronic prescription and ETP requirements following 11 Feb TC</w:t>
            </w:r>
          </w:p>
        </w:tc>
      </w:tr>
      <w:tr w:rsidR="006B7237" w:rsidRPr="002266EB" w14:paraId="3E536241"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54E51D3C" w14:textId="77777777" w:rsidR="006B7237" w:rsidRPr="006E73CE" w:rsidRDefault="00D35909" w:rsidP="00293917">
            <w:pPr>
              <w:spacing w:before="60" w:after="60"/>
              <w:ind w:left="0" w:firstLine="0"/>
              <w:rPr>
                <w:rFonts w:ascii="Verdana Pro" w:hAnsi="Verdana Pro"/>
                <w:sz w:val="16"/>
                <w:szCs w:val="16"/>
              </w:rPr>
            </w:pPr>
            <w:r w:rsidRPr="006E73CE">
              <w:rPr>
                <w:rFonts w:ascii="Verdana Pro" w:hAnsi="Verdana Pro"/>
                <w:sz w:val="16"/>
                <w:szCs w:val="16"/>
              </w:rPr>
              <w:t>24</w:t>
            </w:r>
            <w:r w:rsidR="006B7237" w:rsidRPr="006E73CE">
              <w:rPr>
                <w:rFonts w:ascii="Verdana Pro" w:hAnsi="Verdana Pro"/>
                <w:sz w:val="16"/>
                <w:szCs w:val="16"/>
              </w:rPr>
              <w:t>/02/2020</w:t>
            </w:r>
          </w:p>
        </w:tc>
        <w:tc>
          <w:tcPr>
            <w:tcW w:w="1304" w:type="dxa"/>
          </w:tcPr>
          <w:p w14:paraId="749F61D5" w14:textId="77777777" w:rsidR="006B7237" w:rsidRPr="006E73CE" w:rsidRDefault="00D35909" w:rsidP="00293917">
            <w:pPr>
              <w:spacing w:before="60" w:after="60"/>
              <w:ind w:left="0" w:firstLine="0"/>
              <w:rPr>
                <w:rFonts w:ascii="Verdana Pro" w:hAnsi="Verdana Pro"/>
                <w:sz w:val="16"/>
                <w:szCs w:val="16"/>
              </w:rPr>
            </w:pPr>
            <w:r w:rsidRPr="006E73CE">
              <w:rPr>
                <w:rFonts w:ascii="Verdana Pro" w:hAnsi="Verdana Pro"/>
                <w:sz w:val="16"/>
                <w:szCs w:val="16"/>
              </w:rPr>
              <w:t>1.7-1.8</w:t>
            </w:r>
          </w:p>
        </w:tc>
        <w:tc>
          <w:tcPr>
            <w:tcW w:w="6350" w:type="dxa"/>
          </w:tcPr>
          <w:p w14:paraId="21791CD2" w14:textId="77777777" w:rsidR="006B7237" w:rsidRPr="006E73CE" w:rsidRDefault="0081212C" w:rsidP="00293917">
            <w:pPr>
              <w:spacing w:before="60" w:after="60"/>
              <w:ind w:left="0" w:firstLine="0"/>
              <w:rPr>
                <w:rFonts w:ascii="Verdana Pro" w:hAnsi="Verdana Pro"/>
                <w:sz w:val="16"/>
                <w:szCs w:val="16"/>
              </w:rPr>
            </w:pPr>
            <w:r w:rsidRPr="006E73CE">
              <w:rPr>
                <w:rFonts w:ascii="Verdana Pro" w:hAnsi="Verdana Pro"/>
                <w:sz w:val="16"/>
                <w:szCs w:val="16"/>
              </w:rPr>
              <w:t>Change references from RLMBI to "List of Medicines for Brand Consideration" (LMBC)</w:t>
            </w:r>
          </w:p>
        </w:tc>
      </w:tr>
      <w:tr w:rsidR="00CB02FB" w:rsidRPr="002266EB" w14:paraId="6524995F" w14:textId="77777777" w:rsidTr="006E73CE">
        <w:tc>
          <w:tcPr>
            <w:tcW w:w="1271" w:type="dxa"/>
          </w:tcPr>
          <w:p w14:paraId="1FED39C6" w14:textId="77777777" w:rsidR="00CB02FB" w:rsidRPr="006E73CE" w:rsidRDefault="00CB02FB" w:rsidP="00293917">
            <w:pPr>
              <w:spacing w:before="60" w:after="60"/>
              <w:ind w:left="0" w:firstLine="0"/>
              <w:rPr>
                <w:rFonts w:ascii="Verdana Pro" w:hAnsi="Verdana Pro"/>
                <w:sz w:val="16"/>
                <w:szCs w:val="16"/>
              </w:rPr>
            </w:pPr>
            <w:r w:rsidRPr="006E73CE">
              <w:rPr>
                <w:rFonts w:ascii="Verdana Pro" w:hAnsi="Verdana Pro"/>
                <w:sz w:val="16"/>
                <w:szCs w:val="16"/>
              </w:rPr>
              <w:t>2</w:t>
            </w:r>
            <w:r w:rsidR="00B5496E" w:rsidRPr="006E73CE">
              <w:rPr>
                <w:rFonts w:ascii="Verdana Pro" w:hAnsi="Verdana Pro"/>
                <w:sz w:val="16"/>
                <w:szCs w:val="16"/>
              </w:rPr>
              <w:t>7</w:t>
            </w:r>
            <w:r w:rsidRPr="006E73CE">
              <w:rPr>
                <w:rFonts w:ascii="Verdana Pro" w:hAnsi="Verdana Pro"/>
                <w:sz w:val="16"/>
                <w:szCs w:val="16"/>
              </w:rPr>
              <w:t>/05/2020</w:t>
            </w:r>
          </w:p>
        </w:tc>
        <w:tc>
          <w:tcPr>
            <w:tcW w:w="1304" w:type="dxa"/>
          </w:tcPr>
          <w:p w14:paraId="6ACE1274" w14:textId="77777777" w:rsidR="00CB02FB" w:rsidRPr="006E73CE" w:rsidRDefault="00CB02FB" w:rsidP="00293917">
            <w:pPr>
              <w:spacing w:before="60" w:after="60"/>
              <w:ind w:left="0" w:firstLine="0"/>
              <w:rPr>
                <w:rFonts w:ascii="Verdana Pro" w:hAnsi="Verdana Pro"/>
                <w:sz w:val="16"/>
                <w:szCs w:val="16"/>
              </w:rPr>
            </w:pPr>
            <w:r w:rsidRPr="006E73CE">
              <w:rPr>
                <w:rFonts w:ascii="Verdana Pro" w:hAnsi="Verdana Pro"/>
                <w:sz w:val="16"/>
                <w:szCs w:val="16"/>
              </w:rPr>
              <w:t>1.</w:t>
            </w:r>
            <w:r w:rsidR="00B5496E" w:rsidRPr="006E73CE">
              <w:rPr>
                <w:rFonts w:ascii="Verdana Pro" w:hAnsi="Verdana Pro"/>
                <w:sz w:val="16"/>
                <w:szCs w:val="16"/>
              </w:rPr>
              <w:t>9</w:t>
            </w:r>
          </w:p>
        </w:tc>
        <w:tc>
          <w:tcPr>
            <w:tcW w:w="6350" w:type="dxa"/>
          </w:tcPr>
          <w:p w14:paraId="7EA6EED0" w14:textId="77777777" w:rsidR="00CB02FB" w:rsidRPr="006E73CE" w:rsidRDefault="00CB02FB" w:rsidP="0011675B">
            <w:pPr>
              <w:spacing w:before="60" w:after="60"/>
              <w:ind w:left="0" w:firstLine="0"/>
              <w:rPr>
                <w:rFonts w:ascii="Verdana Pro" w:hAnsi="Verdana Pro"/>
                <w:sz w:val="16"/>
                <w:szCs w:val="16"/>
              </w:rPr>
            </w:pPr>
            <w:r w:rsidRPr="006E73CE">
              <w:rPr>
                <w:rFonts w:ascii="Verdana Pro" w:hAnsi="Verdana Pro"/>
                <w:sz w:val="16"/>
                <w:szCs w:val="16"/>
              </w:rPr>
              <w:t>Capture the extension of the implementation period for those vendors who are unable to make the changes to their prescribing software by 1 November 2020.</w:t>
            </w:r>
          </w:p>
        </w:tc>
      </w:tr>
      <w:tr w:rsidR="00A34845" w:rsidRPr="002266EB" w14:paraId="07C05298"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481CBC6F" w14:textId="77777777" w:rsidR="00A34845" w:rsidRPr="006E73CE" w:rsidRDefault="00A34845" w:rsidP="00A34845">
            <w:pPr>
              <w:spacing w:before="60" w:after="60"/>
              <w:ind w:left="0" w:firstLine="0"/>
              <w:rPr>
                <w:rFonts w:ascii="Verdana Pro" w:hAnsi="Verdana Pro"/>
                <w:sz w:val="16"/>
                <w:szCs w:val="16"/>
              </w:rPr>
            </w:pPr>
            <w:r w:rsidRPr="006E73CE">
              <w:rPr>
                <w:rFonts w:ascii="Verdana Pro" w:hAnsi="Verdana Pro"/>
                <w:sz w:val="16"/>
                <w:szCs w:val="16"/>
              </w:rPr>
              <w:t>13/08/2020</w:t>
            </w:r>
          </w:p>
        </w:tc>
        <w:tc>
          <w:tcPr>
            <w:tcW w:w="1304" w:type="dxa"/>
          </w:tcPr>
          <w:p w14:paraId="1175CFE2" w14:textId="77777777" w:rsidR="00A34845" w:rsidRPr="006E73CE" w:rsidRDefault="00A34845" w:rsidP="00A34845">
            <w:pPr>
              <w:spacing w:before="60" w:after="60"/>
              <w:ind w:left="0" w:firstLine="0"/>
              <w:rPr>
                <w:rFonts w:ascii="Verdana Pro" w:hAnsi="Verdana Pro"/>
                <w:sz w:val="16"/>
                <w:szCs w:val="16"/>
              </w:rPr>
            </w:pPr>
            <w:r w:rsidRPr="006E73CE">
              <w:rPr>
                <w:rFonts w:ascii="Verdana Pro" w:hAnsi="Verdana Pro"/>
                <w:sz w:val="16"/>
                <w:szCs w:val="16"/>
              </w:rPr>
              <w:t>2.0</w:t>
            </w:r>
          </w:p>
        </w:tc>
        <w:tc>
          <w:tcPr>
            <w:tcW w:w="6350" w:type="dxa"/>
          </w:tcPr>
          <w:p w14:paraId="6FB4D79B" w14:textId="77777777" w:rsidR="00A34845" w:rsidRPr="006E73CE" w:rsidRDefault="00A34845" w:rsidP="00A34845">
            <w:pPr>
              <w:spacing w:before="60" w:after="60"/>
              <w:ind w:left="0" w:firstLine="0"/>
              <w:rPr>
                <w:rFonts w:ascii="Verdana Pro" w:hAnsi="Verdana Pro"/>
                <w:sz w:val="16"/>
                <w:szCs w:val="16"/>
              </w:rPr>
            </w:pPr>
            <w:r w:rsidRPr="006E73CE">
              <w:rPr>
                <w:rFonts w:ascii="Verdana Pro" w:hAnsi="Verdana Pro"/>
                <w:sz w:val="16"/>
                <w:szCs w:val="16"/>
              </w:rPr>
              <w:t>Expand description of LMBC</w:t>
            </w:r>
            <w:r w:rsidR="00230B13" w:rsidRPr="006E73CE">
              <w:rPr>
                <w:rFonts w:ascii="Verdana Pro" w:hAnsi="Verdana Pro"/>
                <w:sz w:val="16"/>
                <w:szCs w:val="16"/>
              </w:rPr>
              <w:t xml:space="preserve"> and its difference from RLDBI</w:t>
            </w:r>
          </w:p>
        </w:tc>
      </w:tr>
      <w:tr w:rsidR="00BD5502" w:rsidRPr="002266EB" w14:paraId="0E26C413" w14:textId="77777777" w:rsidTr="006E73CE">
        <w:tc>
          <w:tcPr>
            <w:tcW w:w="1271" w:type="dxa"/>
          </w:tcPr>
          <w:p w14:paraId="782D394D" w14:textId="77777777" w:rsidR="00BD5502" w:rsidRPr="006E73CE" w:rsidRDefault="00CB5F36" w:rsidP="00235319">
            <w:pPr>
              <w:spacing w:before="60" w:after="60"/>
              <w:ind w:left="0" w:firstLine="0"/>
              <w:rPr>
                <w:rFonts w:ascii="Verdana Pro" w:hAnsi="Verdana Pro"/>
                <w:sz w:val="16"/>
                <w:szCs w:val="16"/>
              </w:rPr>
            </w:pPr>
            <w:r w:rsidRPr="006E73CE">
              <w:rPr>
                <w:rFonts w:ascii="Verdana Pro" w:hAnsi="Verdana Pro"/>
                <w:sz w:val="16"/>
                <w:szCs w:val="16"/>
              </w:rPr>
              <w:t>26</w:t>
            </w:r>
            <w:r w:rsidR="00BD5502" w:rsidRPr="006E73CE">
              <w:rPr>
                <w:rFonts w:ascii="Verdana Pro" w:hAnsi="Verdana Pro"/>
                <w:sz w:val="16"/>
                <w:szCs w:val="16"/>
              </w:rPr>
              <w:t>/08/2020</w:t>
            </w:r>
          </w:p>
        </w:tc>
        <w:tc>
          <w:tcPr>
            <w:tcW w:w="1304" w:type="dxa"/>
          </w:tcPr>
          <w:p w14:paraId="79FC45FE" w14:textId="77777777" w:rsidR="00BD5502" w:rsidRPr="006E73CE" w:rsidRDefault="00BD5502" w:rsidP="00235319">
            <w:pPr>
              <w:spacing w:before="60" w:after="60"/>
              <w:ind w:left="0" w:firstLine="0"/>
              <w:rPr>
                <w:rFonts w:ascii="Verdana Pro" w:hAnsi="Verdana Pro"/>
                <w:sz w:val="16"/>
                <w:szCs w:val="16"/>
              </w:rPr>
            </w:pPr>
            <w:r w:rsidRPr="006E73CE">
              <w:rPr>
                <w:rFonts w:ascii="Verdana Pro" w:hAnsi="Verdana Pro"/>
                <w:sz w:val="16"/>
                <w:szCs w:val="16"/>
              </w:rPr>
              <w:t>2.1</w:t>
            </w:r>
          </w:p>
        </w:tc>
        <w:tc>
          <w:tcPr>
            <w:tcW w:w="6350" w:type="dxa"/>
          </w:tcPr>
          <w:p w14:paraId="5E160766" w14:textId="77777777" w:rsidR="00BD5502" w:rsidRPr="006E73CE" w:rsidRDefault="00BD5502" w:rsidP="00235319">
            <w:pPr>
              <w:spacing w:before="60" w:after="60"/>
              <w:ind w:left="0" w:firstLine="0"/>
              <w:rPr>
                <w:rFonts w:ascii="Verdana Pro" w:hAnsi="Verdana Pro"/>
                <w:sz w:val="16"/>
                <w:szCs w:val="16"/>
              </w:rPr>
            </w:pPr>
            <w:r w:rsidRPr="006E73CE">
              <w:rPr>
                <w:rFonts w:ascii="Verdana Pro" w:hAnsi="Verdana Pro"/>
                <w:sz w:val="16"/>
                <w:szCs w:val="16"/>
              </w:rPr>
              <w:t>Confirmation of revised implementation timeframe for active ingredient prescribing following amendments to the National Health (Pharmaceutical Benefits) Regulations 2017.</w:t>
            </w:r>
          </w:p>
        </w:tc>
      </w:tr>
      <w:tr w:rsidR="008C0380" w:rsidRPr="002266EB" w14:paraId="7DA46C73" w14:textId="77777777" w:rsidTr="006E73CE">
        <w:trPr>
          <w:cnfStyle w:val="000000100000" w:firstRow="0" w:lastRow="0" w:firstColumn="0" w:lastColumn="0" w:oddVBand="0" w:evenVBand="0" w:oddHBand="1" w:evenHBand="0" w:firstRowFirstColumn="0" w:firstRowLastColumn="0" w:lastRowFirstColumn="0" w:lastRowLastColumn="0"/>
        </w:trPr>
        <w:tc>
          <w:tcPr>
            <w:tcW w:w="1271" w:type="dxa"/>
          </w:tcPr>
          <w:p w14:paraId="7F547697" w14:textId="77271D66" w:rsidR="008C0380" w:rsidRPr="006E73CE" w:rsidRDefault="008C0380" w:rsidP="008C0380">
            <w:pPr>
              <w:spacing w:before="60" w:after="60"/>
              <w:ind w:left="0" w:firstLine="0"/>
              <w:rPr>
                <w:rFonts w:ascii="Verdana Pro" w:hAnsi="Verdana Pro"/>
                <w:sz w:val="16"/>
                <w:szCs w:val="16"/>
              </w:rPr>
            </w:pPr>
            <w:r w:rsidRPr="006E73CE">
              <w:rPr>
                <w:rFonts w:ascii="Verdana Pro" w:hAnsi="Verdana Pro"/>
                <w:sz w:val="16"/>
                <w:szCs w:val="16"/>
              </w:rPr>
              <w:t>5/11/2020</w:t>
            </w:r>
          </w:p>
        </w:tc>
        <w:tc>
          <w:tcPr>
            <w:tcW w:w="1304" w:type="dxa"/>
          </w:tcPr>
          <w:p w14:paraId="665672C4" w14:textId="1EF279A0" w:rsidR="008C0380" w:rsidRPr="006E73CE" w:rsidRDefault="008C0380" w:rsidP="008C0380">
            <w:pPr>
              <w:spacing w:before="60" w:after="60"/>
              <w:ind w:left="0" w:firstLine="0"/>
              <w:rPr>
                <w:rFonts w:ascii="Verdana Pro" w:hAnsi="Verdana Pro"/>
                <w:sz w:val="16"/>
                <w:szCs w:val="16"/>
              </w:rPr>
            </w:pPr>
            <w:r w:rsidRPr="006E73CE">
              <w:rPr>
                <w:rFonts w:ascii="Verdana Pro" w:hAnsi="Verdana Pro"/>
                <w:sz w:val="16"/>
                <w:szCs w:val="16"/>
              </w:rPr>
              <w:t>2.2</w:t>
            </w:r>
          </w:p>
        </w:tc>
        <w:tc>
          <w:tcPr>
            <w:tcW w:w="6350" w:type="dxa"/>
          </w:tcPr>
          <w:p w14:paraId="1D7DC968" w14:textId="53502C21" w:rsidR="008C0380" w:rsidRPr="006E73CE" w:rsidRDefault="003C38AE" w:rsidP="008C0380">
            <w:pPr>
              <w:spacing w:before="60" w:after="60"/>
              <w:ind w:left="0" w:firstLine="0"/>
              <w:rPr>
                <w:rFonts w:ascii="Verdana Pro" w:hAnsi="Verdana Pro"/>
                <w:sz w:val="16"/>
                <w:szCs w:val="16"/>
              </w:rPr>
            </w:pPr>
            <w:r w:rsidRPr="006E73CE">
              <w:rPr>
                <w:rFonts w:ascii="Verdana Pro" w:hAnsi="Verdana Pro"/>
                <w:sz w:val="16"/>
                <w:szCs w:val="16"/>
              </w:rPr>
              <w:t xml:space="preserve">Changing terminology around </w:t>
            </w:r>
            <w:r w:rsidR="00787C00" w:rsidRPr="006E73CE">
              <w:rPr>
                <w:rFonts w:ascii="Verdana Pro" w:hAnsi="Verdana Pro"/>
                <w:sz w:val="16"/>
                <w:szCs w:val="16"/>
              </w:rPr>
              <w:t>alerts for items on the LMBC per ACSQHC recommendations</w:t>
            </w:r>
          </w:p>
        </w:tc>
      </w:tr>
      <w:tr w:rsidR="006E73CE" w:rsidRPr="002266EB" w14:paraId="4E4A9208" w14:textId="77777777" w:rsidTr="006E73CE">
        <w:tc>
          <w:tcPr>
            <w:tcW w:w="1271" w:type="dxa"/>
          </w:tcPr>
          <w:p w14:paraId="27A5897C" w14:textId="43122268" w:rsidR="006E73CE" w:rsidRPr="006E73CE" w:rsidRDefault="006E73CE" w:rsidP="006E73CE">
            <w:pPr>
              <w:spacing w:before="60" w:after="60"/>
              <w:ind w:left="0" w:firstLine="0"/>
              <w:rPr>
                <w:rFonts w:ascii="Verdana Pro" w:hAnsi="Verdana Pro"/>
                <w:sz w:val="16"/>
                <w:szCs w:val="16"/>
              </w:rPr>
            </w:pPr>
            <w:r>
              <w:rPr>
                <w:rFonts w:ascii="Verdana Pro" w:hAnsi="Verdana Pro"/>
                <w:sz w:val="16"/>
                <w:szCs w:val="16"/>
              </w:rPr>
              <w:t>1/12/2020</w:t>
            </w:r>
          </w:p>
        </w:tc>
        <w:tc>
          <w:tcPr>
            <w:tcW w:w="1304" w:type="dxa"/>
          </w:tcPr>
          <w:p w14:paraId="149822CE" w14:textId="3D6104BA" w:rsidR="006E73CE" w:rsidRPr="006E73CE" w:rsidRDefault="006E73CE" w:rsidP="006E73CE">
            <w:pPr>
              <w:spacing w:before="60" w:after="60"/>
              <w:ind w:left="0" w:firstLine="0"/>
              <w:rPr>
                <w:rFonts w:ascii="Verdana Pro" w:hAnsi="Verdana Pro"/>
                <w:sz w:val="16"/>
                <w:szCs w:val="16"/>
              </w:rPr>
            </w:pPr>
            <w:r>
              <w:rPr>
                <w:rFonts w:ascii="Verdana Pro" w:hAnsi="Verdana Pro"/>
                <w:sz w:val="16"/>
                <w:szCs w:val="16"/>
              </w:rPr>
              <w:t>2.3</w:t>
            </w:r>
          </w:p>
        </w:tc>
        <w:tc>
          <w:tcPr>
            <w:tcW w:w="6350" w:type="dxa"/>
          </w:tcPr>
          <w:p w14:paraId="2B7BFAA0" w14:textId="503F2659" w:rsidR="006E73CE" w:rsidRPr="006E73CE" w:rsidRDefault="006E73CE" w:rsidP="006E73CE">
            <w:pPr>
              <w:spacing w:before="60" w:after="60"/>
              <w:ind w:left="0" w:firstLine="0"/>
              <w:rPr>
                <w:rFonts w:ascii="Verdana Pro" w:hAnsi="Verdana Pro"/>
                <w:sz w:val="16"/>
                <w:szCs w:val="16"/>
              </w:rPr>
            </w:pPr>
            <w:r>
              <w:rPr>
                <w:rFonts w:ascii="Verdana Pro" w:hAnsi="Verdana Pro"/>
                <w:sz w:val="16"/>
                <w:szCs w:val="16"/>
              </w:rPr>
              <w:t xml:space="preserve">Incorporate </w:t>
            </w:r>
            <w:r w:rsidR="00D8475E">
              <w:rPr>
                <w:rFonts w:ascii="Verdana Pro" w:hAnsi="Verdana Pro"/>
                <w:sz w:val="16"/>
                <w:szCs w:val="16"/>
              </w:rPr>
              <w:t xml:space="preserve">minor </w:t>
            </w:r>
            <w:r>
              <w:rPr>
                <w:rFonts w:ascii="Verdana Pro" w:hAnsi="Verdana Pro"/>
                <w:sz w:val="16"/>
                <w:szCs w:val="16"/>
              </w:rPr>
              <w:t>terminology post AIP LEMI legal amendments</w:t>
            </w:r>
          </w:p>
        </w:tc>
      </w:tr>
    </w:tbl>
    <w:p w14:paraId="003CD596" w14:textId="77777777" w:rsidR="00934ECD" w:rsidRDefault="00934ECD" w:rsidP="00934ECD"/>
    <w:p w14:paraId="38DA9650" w14:textId="77777777" w:rsidR="009070C8" w:rsidRDefault="009070C8">
      <w:pPr>
        <w:spacing w:before="0"/>
      </w:pPr>
      <w:r>
        <w:rPr>
          <w:b/>
          <w:bCs/>
        </w:rPr>
        <w:br w:type="page"/>
      </w:r>
    </w:p>
    <w:bookmarkStart w:id="2" w:name="_Toc57702458" w:displacedByCustomXml="next"/>
    <w:sdt>
      <w:sdtPr>
        <w:rPr>
          <w:b w:val="0"/>
          <w:bCs w:val="0"/>
          <w:color w:val="666699"/>
          <w:sz w:val="24"/>
          <w:szCs w:val="20"/>
          <w:lang w:val="en-US"/>
        </w:rPr>
        <w:id w:val="-263927200"/>
        <w:docPartObj>
          <w:docPartGallery w:val="Table of Contents"/>
          <w:docPartUnique/>
        </w:docPartObj>
      </w:sdtPr>
      <w:sdtEndPr>
        <w:rPr>
          <w:noProof/>
          <w:color w:val="auto"/>
          <w:sz w:val="22"/>
          <w:lang w:val="en-AU"/>
        </w:rPr>
      </w:sdtEndPr>
      <w:sdtContent>
        <w:p w14:paraId="34C54518" w14:textId="77777777" w:rsidR="001451CA" w:rsidRDefault="001451CA" w:rsidP="002C41C7">
          <w:pPr>
            <w:pStyle w:val="Heading1"/>
          </w:pPr>
          <w:r>
            <w:t>Contents</w:t>
          </w:r>
          <w:bookmarkEnd w:id="2"/>
        </w:p>
        <w:p w14:paraId="6F0C66BC" w14:textId="43969574" w:rsidR="006B491D" w:rsidRDefault="001451CA">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r>
            <w:rPr>
              <w:i/>
              <w:iCs/>
            </w:rPr>
            <w:fldChar w:fldCharType="begin"/>
          </w:r>
          <w:r>
            <w:rPr>
              <w:i/>
              <w:iCs/>
            </w:rPr>
            <w:instrText xml:space="preserve"> TOC \h \z \u \t "Heading 1,1,Heading 2,2,Heading 3,3" </w:instrText>
          </w:r>
          <w:r>
            <w:rPr>
              <w:i/>
              <w:iCs/>
            </w:rPr>
            <w:fldChar w:fldCharType="separate"/>
          </w:r>
          <w:hyperlink w:anchor="_Toc57702458" w:history="1">
            <w:r w:rsidR="006B491D" w:rsidRPr="00FB2612">
              <w:rPr>
                <w:rStyle w:val="Hyperlink"/>
                <w:noProof/>
              </w:rPr>
              <w:t>1</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Contents</w:t>
            </w:r>
            <w:r w:rsidR="006B491D">
              <w:rPr>
                <w:noProof/>
                <w:webHidden/>
              </w:rPr>
              <w:tab/>
            </w:r>
            <w:r w:rsidR="006B491D">
              <w:rPr>
                <w:noProof/>
                <w:webHidden/>
              </w:rPr>
              <w:fldChar w:fldCharType="begin"/>
            </w:r>
            <w:r w:rsidR="006B491D">
              <w:rPr>
                <w:noProof/>
                <w:webHidden/>
              </w:rPr>
              <w:instrText xml:space="preserve"> PAGEREF _Toc57702458 \h </w:instrText>
            </w:r>
            <w:r w:rsidR="006B491D">
              <w:rPr>
                <w:noProof/>
                <w:webHidden/>
              </w:rPr>
            </w:r>
            <w:r w:rsidR="006B491D">
              <w:rPr>
                <w:noProof/>
                <w:webHidden/>
              </w:rPr>
              <w:fldChar w:fldCharType="separate"/>
            </w:r>
            <w:r w:rsidR="005B1F80">
              <w:rPr>
                <w:noProof/>
                <w:webHidden/>
              </w:rPr>
              <w:t>3</w:t>
            </w:r>
            <w:r w:rsidR="006B491D">
              <w:rPr>
                <w:noProof/>
                <w:webHidden/>
              </w:rPr>
              <w:fldChar w:fldCharType="end"/>
            </w:r>
          </w:hyperlink>
        </w:p>
        <w:p w14:paraId="49CE21C6" w14:textId="38F8DC9E"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459" w:history="1">
            <w:r w:rsidR="006B491D" w:rsidRPr="00FB2612">
              <w:rPr>
                <w:rStyle w:val="Hyperlink"/>
                <w:noProof/>
              </w:rPr>
              <w:t>2</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Glossary and Abbreviations</w:t>
            </w:r>
            <w:r w:rsidR="006B491D">
              <w:rPr>
                <w:noProof/>
                <w:webHidden/>
              </w:rPr>
              <w:tab/>
            </w:r>
            <w:r w:rsidR="006B491D">
              <w:rPr>
                <w:noProof/>
                <w:webHidden/>
              </w:rPr>
              <w:fldChar w:fldCharType="begin"/>
            </w:r>
            <w:r w:rsidR="006B491D">
              <w:rPr>
                <w:noProof/>
                <w:webHidden/>
              </w:rPr>
              <w:instrText xml:space="preserve"> PAGEREF _Toc57702459 \h </w:instrText>
            </w:r>
            <w:r w:rsidR="006B491D">
              <w:rPr>
                <w:noProof/>
                <w:webHidden/>
              </w:rPr>
            </w:r>
            <w:r w:rsidR="006B491D">
              <w:rPr>
                <w:noProof/>
                <w:webHidden/>
              </w:rPr>
              <w:fldChar w:fldCharType="separate"/>
            </w:r>
            <w:r w:rsidR="005B1F80">
              <w:rPr>
                <w:noProof/>
                <w:webHidden/>
              </w:rPr>
              <w:t>5</w:t>
            </w:r>
            <w:r w:rsidR="006B491D">
              <w:rPr>
                <w:noProof/>
                <w:webHidden/>
              </w:rPr>
              <w:fldChar w:fldCharType="end"/>
            </w:r>
          </w:hyperlink>
        </w:p>
        <w:p w14:paraId="03F27CEE" w14:textId="7B1C3503"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460" w:history="1">
            <w:r w:rsidR="006B491D" w:rsidRPr="00FB2612">
              <w:rPr>
                <w:rStyle w:val="Hyperlink"/>
                <w:noProof/>
              </w:rPr>
              <w:t>3</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Introduction</w:t>
            </w:r>
            <w:r w:rsidR="006B491D">
              <w:rPr>
                <w:noProof/>
                <w:webHidden/>
              </w:rPr>
              <w:tab/>
            </w:r>
            <w:r w:rsidR="006B491D">
              <w:rPr>
                <w:noProof/>
                <w:webHidden/>
              </w:rPr>
              <w:fldChar w:fldCharType="begin"/>
            </w:r>
            <w:r w:rsidR="006B491D">
              <w:rPr>
                <w:noProof/>
                <w:webHidden/>
              </w:rPr>
              <w:instrText xml:space="preserve"> PAGEREF _Toc57702460 \h </w:instrText>
            </w:r>
            <w:r w:rsidR="006B491D">
              <w:rPr>
                <w:noProof/>
                <w:webHidden/>
              </w:rPr>
            </w:r>
            <w:r w:rsidR="006B491D">
              <w:rPr>
                <w:noProof/>
                <w:webHidden/>
              </w:rPr>
              <w:fldChar w:fldCharType="separate"/>
            </w:r>
            <w:r w:rsidR="005B1F80">
              <w:rPr>
                <w:noProof/>
                <w:webHidden/>
              </w:rPr>
              <w:t>8</w:t>
            </w:r>
            <w:r w:rsidR="006B491D">
              <w:rPr>
                <w:noProof/>
                <w:webHidden/>
              </w:rPr>
              <w:fldChar w:fldCharType="end"/>
            </w:r>
          </w:hyperlink>
        </w:p>
        <w:p w14:paraId="08AF5B54" w14:textId="75C38E05" w:rsidR="006B491D" w:rsidRDefault="00002779">
          <w:pPr>
            <w:pStyle w:val="TOC2"/>
            <w:rPr>
              <w:rFonts w:asciiTheme="minorHAnsi" w:eastAsiaTheme="minorEastAsia" w:hAnsiTheme="minorHAnsi" w:cstheme="minorBidi"/>
              <w:smallCaps w:val="0"/>
              <w:noProof/>
              <w:sz w:val="22"/>
              <w:szCs w:val="22"/>
              <w:lang w:eastAsia="en-AU"/>
            </w:rPr>
          </w:pPr>
          <w:hyperlink w:anchor="_Toc57702461" w:history="1">
            <w:r w:rsidR="006B491D" w:rsidRPr="00FB2612">
              <w:rPr>
                <w:rStyle w:val="Hyperlink"/>
                <w:noProof/>
              </w:rPr>
              <w:t>3.1</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Regulatory change overview</w:t>
            </w:r>
            <w:r w:rsidR="006B491D">
              <w:rPr>
                <w:noProof/>
                <w:webHidden/>
              </w:rPr>
              <w:tab/>
            </w:r>
            <w:r w:rsidR="006B491D">
              <w:rPr>
                <w:noProof/>
                <w:webHidden/>
              </w:rPr>
              <w:fldChar w:fldCharType="begin"/>
            </w:r>
            <w:r w:rsidR="006B491D">
              <w:rPr>
                <w:noProof/>
                <w:webHidden/>
              </w:rPr>
              <w:instrText xml:space="preserve"> PAGEREF _Toc57702461 \h </w:instrText>
            </w:r>
            <w:r w:rsidR="006B491D">
              <w:rPr>
                <w:noProof/>
                <w:webHidden/>
              </w:rPr>
            </w:r>
            <w:r w:rsidR="006B491D">
              <w:rPr>
                <w:noProof/>
                <w:webHidden/>
              </w:rPr>
              <w:fldChar w:fldCharType="separate"/>
            </w:r>
            <w:r w:rsidR="005B1F80">
              <w:rPr>
                <w:noProof/>
                <w:webHidden/>
              </w:rPr>
              <w:t>8</w:t>
            </w:r>
            <w:r w:rsidR="006B491D">
              <w:rPr>
                <w:noProof/>
                <w:webHidden/>
              </w:rPr>
              <w:fldChar w:fldCharType="end"/>
            </w:r>
          </w:hyperlink>
        </w:p>
        <w:p w14:paraId="4A4F6714" w14:textId="42DB64E7" w:rsidR="006B491D" w:rsidRDefault="00002779">
          <w:pPr>
            <w:pStyle w:val="TOC3"/>
            <w:rPr>
              <w:rFonts w:asciiTheme="minorHAnsi" w:eastAsiaTheme="minorEastAsia" w:hAnsiTheme="minorHAnsi" w:cstheme="minorBidi"/>
              <w:i w:val="0"/>
              <w:iCs w:val="0"/>
              <w:noProof/>
              <w:sz w:val="22"/>
              <w:szCs w:val="22"/>
              <w:lang w:eastAsia="en-AU"/>
            </w:rPr>
          </w:pPr>
          <w:hyperlink w:anchor="_Toc57702462" w:history="1">
            <w:r w:rsidR="006B491D" w:rsidRPr="00FB2612">
              <w:rPr>
                <w:rStyle w:val="Hyperlink"/>
                <w:noProof/>
              </w:rPr>
              <w:t>3.1.1</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Extension of transition period</w:t>
            </w:r>
            <w:r w:rsidR="006B491D">
              <w:rPr>
                <w:noProof/>
                <w:webHidden/>
              </w:rPr>
              <w:tab/>
            </w:r>
            <w:r w:rsidR="006B491D">
              <w:rPr>
                <w:noProof/>
                <w:webHidden/>
              </w:rPr>
              <w:fldChar w:fldCharType="begin"/>
            </w:r>
            <w:r w:rsidR="006B491D">
              <w:rPr>
                <w:noProof/>
                <w:webHidden/>
              </w:rPr>
              <w:instrText xml:space="preserve"> PAGEREF _Toc57702462 \h </w:instrText>
            </w:r>
            <w:r w:rsidR="006B491D">
              <w:rPr>
                <w:noProof/>
                <w:webHidden/>
              </w:rPr>
            </w:r>
            <w:r w:rsidR="006B491D">
              <w:rPr>
                <w:noProof/>
                <w:webHidden/>
              </w:rPr>
              <w:fldChar w:fldCharType="separate"/>
            </w:r>
            <w:r w:rsidR="005B1F80">
              <w:rPr>
                <w:noProof/>
                <w:webHidden/>
              </w:rPr>
              <w:t>8</w:t>
            </w:r>
            <w:r w:rsidR="006B491D">
              <w:rPr>
                <w:noProof/>
                <w:webHidden/>
              </w:rPr>
              <w:fldChar w:fldCharType="end"/>
            </w:r>
          </w:hyperlink>
        </w:p>
        <w:p w14:paraId="633241A1" w14:textId="1CA8A650" w:rsidR="006B491D" w:rsidRDefault="00002779">
          <w:pPr>
            <w:pStyle w:val="TOC3"/>
            <w:rPr>
              <w:rFonts w:asciiTheme="minorHAnsi" w:eastAsiaTheme="minorEastAsia" w:hAnsiTheme="minorHAnsi" w:cstheme="minorBidi"/>
              <w:i w:val="0"/>
              <w:iCs w:val="0"/>
              <w:noProof/>
              <w:sz w:val="22"/>
              <w:szCs w:val="22"/>
              <w:lang w:eastAsia="en-AU"/>
            </w:rPr>
          </w:pPr>
          <w:hyperlink w:anchor="_Toc57702463" w:history="1">
            <w:r w:rsidR="006B491D" w:rsidRPr="00FB2612">
              <w:rPr>
                <w:rStyle w:val="Hyperlink"/>
                <w:noProof/>
              </w:rPr>
              <w:t>3.1.2</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Inclusion of the Brand as a Default is prohibited</w:t>
            </w:r>
            <w:r w:rsidR="006B491D">
              <w:rPr>
                <w:noProof/>
                <w:webHidden/>
              </w:rPr>
              <w:tab/>
            </w:r>
            <w:r w:rsidR="006B491D">
              <w:rPr>
                <w:noProof/>
                <w:webHidden/>
              </w:rPr>
              <w:fldChar w:fldCharType="begin"/>
            </w:r>
            <w:r w:rsidR="006B491D">
              <w:rPr>
                <w:noProof/>
                <w:webHidden/>
              </w:rPr>
              <w:instrText xml:space="preserve"> PAGEREF _Toc57702463 \h </w:instrText>
            </w:r>
            <w:r w:rsidR="006B491D">
              <w:rPr>
                <w:noProof/>
                <w:webHidden/>
              </w:rPr>
            </w:r>
            <w:r w:rsidR="006B491D">
              <w:rPr>
                <w:noProof/>
                <w:webHidden/>
              </w:rPr>
              <w:fldChar w:fldCharType="separate"/>
            </w:r>
            <w:r w:rsidR="005B1F80">
              <w:rPr>
                <w:noProof/>
                <w:webHidden/>
              </w:rPr>
              <w:t>9</w:t>
            </w:r>
            <w:r w:rsidR="006B491D">
              <w:rPr>
                <w:noProof/>
                <w:webHidden/>
              </w:rPr>
              <w:fldChar w:fldCharType="end"/>
            </w:r>
          </w:hyperlink>
        </w:p>
        <w:p w14:paraId="1A0CB5C0" w14:textId="7A658379" w:rsidR="006B491D" w:rsidRDefault="00002779">
          <w:pPr>
            <w:pStyle w:val="TOC3"/>
            <w:rPr>
              <w:rFonts w:asciiTheme="minorHAnsi" w:eastAsiaTheme="minorEastAsia" w:hAnsiTheme="minorHAnsi" w:cstheme="minorBidi"/>
              <w:i w:val="0"/>
              <w:iCs w:val="0"/>
              <w:noProof/>
              <w:sz w:val="22"/>
              <w:szCs w:val="22"/>
              <w:lang w:eastAsia="en-AU"/>
            </w:rPr>
          </w:pPr>
          <w:hyperlink w:anchor="_Toc57702464" w:history="1">
            <w:r w:rsidR="006B491D" w:rsidRPr="00FB2612">
              <w:rPr>
                <w:rStyle w:val="Hyperlink"/>
                <w:noProof/>
              </w:rPr>
              <w:t>3.1.3</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Exemptions</w:t>
            </w:r>
            <w:r w:rsidR="006B491D">
              <w:rPr>
                <w:noProof/>
                <w:webHidden/>
              </w:rPr>
              <w:tab/>
            </w:r>
            <w:r w:rsidR="006B491D">
              <w:rPr>
                <w:noProof/>
                <w:webHidden/>
              </w:rPr>
              <w:fldChar w:fldCharType="begin"/>
            </w:r>
            <w:r w:rsidR="006B491D">
              <w:rPr>
                <w:noProof/>
                <w:webHidden/>
              </w:rPr>
              <w:instrText xml:space="preserve"> PAGEREF _Toc57702464 \h </w:instrText>
            </w:r>
            <w:r w:rsidR="006B491D">
              <w:rPr>
                <w:noProof/>
                <w:webHidden/>
              </w:rPr>
            </w:r>
            <w:r w:rsidR="006B491D">
              <w:rPr>
                <w:noProof/>
                <w:webHidden/>
              </w:rPr>
              <w:fldChar w:fldCharType="separate"/>
            </w:r>
            <w:r w:rsidR="005B1F80">
              <w:rPr>
                <w:noProof/>
                <w:webHidden/>
              </w:rPr>
              <w:t>9</w:t>
            </w:r>
            <w:r w:rsidR="006B491D">
              <w:rPr>
                <w:noProof/>
                <w:webHidden/>
              </w:rPr>
              <w:fldChar w:fldCharType="end"/>
            </w:r>
          </w:hyperlink>
        </w:p>
        <w:p w14:paraId="74A54EAE" w14:textId="5D29A805" w:rsidR="006B491D" w:rsidRDefault="00002779">
          <w:pPr>
            <w:pStyle w:val="TOC3"/>
            <w:rPr>
              <w:rFonts w:asciiTheme="minorHAnsi" w:eastAsiaTheme="minorEastAsia" w:hAnsiTheme="minorHAnsi" w:cstheme="minorBidi"/>
              <w:i w:val="0"/>
              <w:iCs w:val="0"/>
              <w:noProof/>
              <w:sz w:val="22"/>
              <w:szCs w:val="22"/>
              <w:lang w:eastAsia="en-AU"/>
            </w:rPr>
          </w:pPr>
          <w:hyperlink w:anchor="_Toc57702465" w:history="1">
            <w:r w:rsidR="006B491D" w:rsidRPr="00FB2612">
              <w:rPr>
                <w:rStyle w:val="Hyperlink"/>
                <w:noProof/>
              </w:rPr>
              <w:t>3.1.4</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Timetable for Implementation</w:t>
            </w:r>
            <w:r w:rsidR="006B491D">
              <w:rPr>
                <w:noProof/>
                <w:webHidden/>
              </w:rPr>
              <w:tab/>
            </w:r>
            <w:r w:rsidR="006B491D">
              <w:rPr>
                <w:noProof/>
                <w:webHidden/>
              </w:rPr>
              <w:fldChar w:fldCharType="begin"/>
            </w:r>
            <w:r w:rsidR="006B491D">
              <w:rPr>
                <w:noProof/>
                <w:webHidden/>
              </w:rPr>
              <w:instrText xml:space="preserve"> PAGEREF _Toc57702465 \h </w:instrText>
            </w:r>
            <w:r w:rsidR="006B491D">
              <w:rPr>
                <w:noProof/>
                <w:webHidden/>
              </w:rPr>
            </w:r>
            <w:r w:rsidR="006B491D">
              <w:rPr>
                <w:noProof/>
                <w:webHidden/>
              </w:rPr>
              <w:fldChar w:fldCharType="separate"/>
            </w:r>
            <w:r w:rsidR="005B1F80">
              <w:rPr>
                <w:noProof/>
                <w:webHidden/>
              </w:rPr>
              <w:t>9</w:t>
            </w:r>
            <w:r w:rsidR="006B491D">
              <w:rPr>
                <w:noProof/>
                <w:webHidden/>
              </w:rPr>
              <w:fldChar w:fldCharType="end"/>
            </w:r>
          </w:hyperlink>
        </w:p>
        <w:p w14:paraId="04C85171" w14:textId="337810F8"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466" w:history="1">
            <w:r w:rsidR="006B491D" w:rsidRPr="00FB2612">
              <w:rPr>
                <w:rStyle w:val="Hyperlink"/>
                <w:noProof/>
              </w:rPr>
              <w:t>4</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Project Background Details</w:t>
            </w:r>
            <w:r w:rsidR="006B491D">
              <w:rPr>
                <w:noProof/>
                <w:webHidden/>
              </w:rPr>
              <w:tab/>
            </w:r>
            <w:r w:rsidR="006B491D">
              <w:rPr>
                <w:noProof/>
                <w:webHidden/>
              </w:rPr>
              <w:fldChar w:fldCharType="begin"/>
            </w:r>
            <w:r w:rsidR="006B491D">
              <w:rPr>
                <w:noProof/>
                <w:webHidden/>
              </w:rPr>
              <w:instrText xml:space="preserve"> PAGEREF _Toc57702466 \h </w:instrText>
            </w:r>
            <w:r w:rsidR="006B491D">
              <w:rPr>
                <w:noProof/>
                <w:webHidden/>
              </w:rPr>
            </w:r>
            <w:r w:rsidR="006B491D">
              <w:rPr>
                <w:noProof/>
                <w:webHidden/>
              </w:rPr>
              <w:fldChar w:fldCharType="separate"/>
            </w:r>
            <w:r w:rsidR="005B1F80">
              <w:rPr>
                <w:noProof/>
                <w:webHidden/>
              </w:rPr>
              <w:t>9</w:t>
            </w:r>
            <w:r w:rsidR="006B491D">
              <w:rPr>
                <w:noProof/>
                <w:webHidden/>
              </w:rPr>
              <w:fldChar w:fldCharType="end"/>
            </w:r>
          </w:hyperlink>
        </w:p>
        <w:p w14:paraId="13E902A4" w14:textId="664CA4B6" w:rsidR="006B491D" w:rsidRDefault="00002779">
          <w:pPr>
            <w:pStyle w:val="TOC2"/>
            <w:rPr>
              <w:rFonts w:asciiTheme="minorHAnsi" w:eastAsiaTheme="minorEastAsia" w:hAnsiTheme="minorHAnsi" w:cstheme="minorBidi"/>
              <w:smallCaps w:val="0"/>
              <w:noProof/>
              <w:sz w:val="22"/>
              <w:szCs w:val="22"/>
              <w:lang w:eastAsia="en-AU"/>
            </w:rPr>
          </w:pPr>
          <w:hyperlink w:anchor="_Toc57702467" w:history="1">
            <w:r w:rsidR="006B491D" w:rsidRPr="00FB2612">
              <w:rPr>
                <w:rStyle w:val="Hyperlink"/>
                <w:noProof/>
              </w:rPr>
              <w:t>4.1</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Universal Nature of this Program:</w:t>
            </w:r>
            <w:r w:rsidR="006B491D">
              <w:rPr>
                <w:noProof/>
                <w:webHidden/>
              </w:rPr>
              <w:tab/>
            </w:r>
            <w:r w:rsidR="006B491D">
              <w:rPr>
                <w:noProof/>
                <w:webHidden/>
              </w:rPr>
              <w:fldChar w:fldCharType="begin"/>
            </w:r>
            <w:r w:rsidR="006B491D">
              <w:rPr>
                <w:noProof/>
                <w:webHidden/>
              </w:rPr>
              <w:instrText xml:space="preserve"> PAGEREF _Toc57702467 \h </w:instrText>
            </w:r>
            <w:r w:rsidR="006B491D">
              <w:rPr>
                <w:noProof/>
                <w:webHidden/>
              </w:rPr>
            </w:r>
            <w:r w:rsidR="006B491D">
              <w:rPr>
                <w:noProof/>
                <w:webHidden/>
              </w:rPr>
              <w:fldChar w:fldCharType="separate"/>
            </w:r>
            <w:r w:rsidR="005B1F80">
              <w:rPr>
                <w:noProof/>
                <w:webHidden/>
              </w:rPr>
              <w:t>9</w:t>
            </w:r>
            <w:r w:rsidR="006B491D">
              <w:rPr>
                <w:noProof/>
                <w:webHidden/>
              </w:rPr>
              <w:fldChar w:fldCharType="end"/>
            </w:r>
          </w:hyperlink>
        </w:p>
        <w:p w14:paraId="6D1715F5" w14:textId="30B3AEC6" w:rsidR="006B491D" w:rsidRDefault="00002779">
          <w:pPr>
            <w:pStyle w:val="TOC2"/>
            <w:rPr>
              <w:rFonts w:asciiTheme="minorHAnsi" w:eastAsiaTheme="minorEastAsia" w:hAnsiTheme="minorHAnsi" w:cstheme="minorBidi"/>
              <w:smallCaps w:val="0"/>
              <w:noProof/>
              <w:sz w:val="22"/>
              <w:szCs w:val="22"/>
              <w:lang w:eastAsia="en-AU"/>
            </w:rPr>
          </w:pPr>
          <w:hyperlink w:anchor="_Toc57702468" w:history="1">
            <w:r w:rsidR="006B491D" w:rsidRPr="00FB2612">
              <w:rPr>
                <w:rStyle w:val="Hyperlink"/>
                <w:noProof/>
              </w:rPr>
              <w:t>4.2</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ACSQHC Role</w:t>
            </w:r>
            <w:r w:rsidR="006B491D">
              <w:rPr>
                <w:noProof/>
                <w:webHidden/>
              </w:rPr>
              <w:tab/>
            </w:r>
            <w:r w:rsidR="006B491D">
              <w:rPr>
                <w:noProof/>
                <w:webHidden/>
              </w:rPr>
              <w:fldChar w:fldCharType="begin"/>
            </w:r>
            <w:r w:rsidR="006B491D">
              <w:rPr>
                <w:noProof/>
                <w:webHidden/>
              </w:rPr>
              <w:instrText xml:space="preserve"> PAGEREF _Toc57702468 \h </w:instrText>
            </w:r>
            <w:r w:rsidR="006B491D">
              <w:rPr>
                <w:noProof/>
                <w:webHidden/>
              </w:rPr>
            </w:r>
            <w:r w:rsidR="006B491D">
              <w:rPr>
                <w:noProof/>
                <w:webHidden/>
              </w:rPr>
              <w:fldChar w:fldCharType="separate"/>
            </w:r>
            <w:r w:rsidR="005B1F80">
              <w:rPr>
                <w:noProof/>
                <w:webHidden/>
              </w:rPr>
              <w:t>9</w:t>
            </w:r>
            <w:r w:rsidR="006B491D">
              <w:rPr>
                <w:noProof/>
                <w:webHidden/>
              </w:rPr>
              <w:fldChar w:fldCharType="end"/>
            </w:r>
          </w:hyperlink>
        </w:p>
        <w:p w14:paraId="29B243AD" w14:textId="7B8058CD" w:rsidR="006B491D" w:rsidRDefault="00002779">
          <w:pPr>
            <w:pStyle w:val="TOC3"/>
            <w:rPr>
              <w:rFonts w:asciiTheme="minorHAnsi" w:eastAsiaTheme="minorEastAsia" w:hAnsiTheme="minorHAnsi" w:cstheme="minorBidi"/>
              <w:i w:val="0"/>
              <w:iCs w:val="0"/>
              <w:noProof/>
              <w:sz w:val="22"/>
              <w:szCs w:val="22"/>
              <w:lang w:eastAsia="en-AU"/>
            </w:rPr>
          </w:pPr>
          <w:hyperlink w:anchor="_Toc57702469" w:history="1">
            <w:r w:rsidR="006B491D" w:rsidRPr="00FB2612">
              <w:rPr>
                <w:rStyle w:val="Hyperlink"/>
                <w:noProof/>
              </w:rPr>
              <w:t>4.2.1</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List of Medicines for Brand Consideration - (LMBC)</w:t>
            </w:r>
            <w:r w:rsidR="006B491D">
              <w:rPr>
                <w:noProof/>
                <w:webHidden/>
              </w:rPr>
              <w:tab/>
            </w:r>
            <w:r w:rsidR="006B491D">
              <w:rPr>
                <w:noProof/>
                <w:webHidden/>
              </w:rPr>
              <w:fldChar w:fldCharType="begin"/>
            </w:r>
            <w:r w:rsidR="006B491D">
              <w:rPr>
                <w:noProof/>
                <w:webHidden/>
              </w:rPr>
              <w:instrText xml:space="preserve"> PAGEREF _Toc57702469 \h </w:instrText>
            </w:r>
            <w:r w:rsidR="006B491D">
              <w:rPr>
                <w:noProof/>
                <w:webHidden/>
              </w:rPr>
            </w:r>
            <w:r w:rsidR="006B491D">
              <w:rPr>
                <w:noProof/>
                <w:webHidden/>
              </w:rPr>
              <w:fldChar w:fldCharType="separate"/>
            </w:r>
            <w:r w:rsidR="005B1F80">
              <w:rPr>
                <w:noProof/>
                <w:webHidden/>
              </w:rPr>
              <w:t>10</w:t>
            </w:r>
            <w:r w:rsidR="006B491D">
              <w:rPr>
                <w:noProof/>
                <w:webHidden/>
              </w:rPr>
              <w:fldChar w:fldCharType="end"/>
            </w:r>
          </w:hyperlink>
        </w:p>
        <w:p w14:paraId="36DB1E70" w14:textId="580A2F1C" w:rsidR="006B491D" w:rsidRDefault="00002779">
          <w:pPr>
            <w:pStyle w:val="TOC3"/>
            <w:rPr>
              <w:rFonts w:asciiTheme="minorHAnsi" w:eastAsiaTheme="minorEastAsia" w:hAnsiTheme="minorHAnsi" w:cstheme="minorBidi"/>
              <w:i w:val="0"/>
              <w:iCs w:val="0"/>
              <w:noProof/>
              <w:sz w:val="22"/>
              <w:szCs w:val="22"/>
              <w:lang w:eastAsia="en-AU"/>
            </w:rPr>
          </w:pPr>
          <w:hyperlink w:anchor="_Toc57702470" w:history="1">
            <w:r w:rsidR="006B491D" w:rsidRPr="00FB2612">
              <w:rPr>
                <w:rStyle w:val="Hyperlink"/>
                <w:noProof/>
              </w:rPr>
              <w:t>4.2.2</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Considerations for Prescribing LMBC Drugs</w:t>
            </w:r>
            <w:r w:rsidR="006B491D">
              <w:rPr>
                <w:noProof/>
                <w:webHidden/>
              </w:rPr>
              <w:tab/>
            </w:r>
            <w:r w:rsidR="006B491D">
              <w:rPr>
                <w:noProof/>
                <w:webHidden/>
              </w:rPr>
              <w:fldChar w:fldCharType="begin"/>
            </w:r>
            <w:r w:rsidR="006B491D">
              <w:rPr>
                <w:noProof/>
                <w:webHidden/>
              </w:rPr>
              <w:instrText xml:space="preserve"> PAGEREF _Toc57702470 \h </w:instrText>
            </w:r>
            <w:r w:rsidR="006B491D">
              <w:rPr>
                <w:noProof/>
                <w:webHidden/>
              </w:rPr>
            </w:r>
            <w:r w:rsidR="006B491D">
              <w:rPr>
                <w:noProof/>
                <w:webHidden/>
              </w:rPr>
              <w:fldChar w:fldCharType="separate"/>
            </w:r>
            <w:r w:rsidR="005B1F80">
              <w:rPr>
                <w:noProof/>
                <w:webHidden/>
              </w:rPr>
              <w:t>11</w:t>
            </w:r>
            <w:r w:rsidR="006B491D">
              <w:rPr>
                <w:noProof/>
                <w:webHidden/>
              </w:rPr>
              <w:fldChar w:fldCharType="end"/>
            </w:r>
          </w:hyperlink>
        </w:p>
        <w:p w14:paraId="0F2B7952" w14:textId="312B000F" w:rsidR="006B491D" w:rsidRDefault="00002779">
          <w:pPr>
            <w:pStyle w:val="TOC3"/>
            <w:rPr>
              <w:rFonts w:asciiTheme="minorHAnsi" w:eastAsiaTheme="minorEastAsia" w:hAnsiTheme="minorHAnsi" w:cstheme="minorBidi"/>
              <w:i w:val="0"/>
              <w:iCs w:val="0"/>
              <w:noProof/>
              <w:sz w:val="22"/>
              <w:szCs w:val="22"/>
              <w:lang w:eastAsia="en-AU"/>
            </w:rPr>
          </w:pPr>
          <w:hyperlink w:anchor="_Toc57702471" w:history="1">
            <w:r w:rsidR="006B491D" w:rsidRPr="00FB2612">
              <w:rPr>
                <w:rStyle w:val="Hyperlink"/>
                <w:noProof/>
              </w:rPr>
              <w:t>4.2.3</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Difference between RLDBI and LMBC</w:t>
            </w:r>
            <w:r w:rsidR="006B491D">
              <w:rPr>
                <w:noProof/>
                <w:webHidden/>
              </w:rPr>
              <w:tab/>
            </w:r>
            <w:r w:rsidR="006B491D">
              <w:rPr>
                <w:noProof/>
                <w:webHidden/>
              </w:rPr>
              <w:fldChar w:fldCharType="begin"/>
            </w:r>
            <w:r w:rsidR="006B491D">
              <w:rPr>
                <w:noProof/>
                <w:webHidden/>
              </w:rPr>
              <w:instrText xml:space="preserve"> PAGEREF _Toc57702471 \h </w:instrText>
            </w:r>
            <w:r w:rsidR="006B491D">
              <w:rPr>
                <w:noProof/>
                <w:webHidden/>
              </w:rPr>
            </w:r>
            <w:r w:rsidR="006B491D">
              <w:rPr>
                <w:noProof/>
                <w:webHidden/>
              </w:rPr>
              <w:fldChar w:fldCharType="separate"/>
            </w:r>
            <w:r w:rsidR="005B1F80">
              <w:rPr>
                <w:noProof/>
                <w:webHidden/>
              </w:rPr>
              <w:t>11</w:t>
            </w:r>
            <w:r w:rsidR="006B491D">
              <w:rPr>
                <w:noProof/>
                <w:webHidden/>
              </w:rPr>
              <w:fldChar w:fldCharType="end"/>
            </w:r>
          </w:hyperlink>
        </w:p>
        <w:p w14:paraId="11D9EEF9" w14:textId="071B5CE9" w:rsidR="006B491D" w:rsidRDefault="00002779">
          <w:pPr>
            <w:pStyle w:val="TOC3"/>
            <w:rPr>
              <w:rFonts w:asciiTheme="minorHAnsi" w:eastAsiaTheme="minorEastAsia" w:hAnsiTheme="minorHAnsi" w:cstheme="minorBidi"/>
              <w:i w:val="0"/>
              <w:iCs w:val="0"/>
              <w:noProof/>
              <w:sz w:val="22"/>
              <w:szCs w:val="22"/>
              <w:lang w:eastAsia="en-AU"/>
            </w:rPr>
          </w:pPr>
          <w:hyperlink w:anchor="_Toc57702472" w:history="1">
            <w:r w:rsidR="006B491D" w:rsidRPr="00FB2612">
              <w:rPr>
                <w:rStyle w:val="Hyperlink"/>
                <w:noProof/>
              </w:rPr>
              <w:t>4.2.4</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List of Excluded Medicinal Items (LEMI)</w:t>
            </w:r>
            <w:r w:rsidR="006B491D">
              <w:rPr>
                <w:noProof/>
                <w:webHidden/>
              </w:rPr>
              <w:tab/>
            </w:r>
            <w:r w:rsidR="006B491D">
              <w:rPr>
                <w:noProof/>
                <w:webHidden/>
              </w:rPr>
              <w:fldChar w:fldCharType="begin"/>
            </w:r>
            <w:r w:rsidR="006B491D">
              <w:rPr>
                <w:noProof/>
                <w:webHidden/>
              </w:rPr>
              <w:instrText xml:space="preserve"> PAGEREF _Toc57702472 \h </w:instrText>
            </w:r>
            <w:r w:rsidR="006B491D">
              <w:rPr>
                <w:noProof/>
                <w:webHidden/>
              </w:rPr>
            </w:r>
            <w:r w:rsidR="006B491D">
              <w:rPr>
                <w:noProof/>
                <w:webHidden/>
              </w:rPr>
              <w:fldChar w:fldCharType="separate"/>
            </w:r>
            <w:r w:rsidR="005B1F80">
              <w:rPr>
                <w:noProof/>
                <w:webHidden/>
              </w:rPr>
              <w:t>11</w:t>
            </w:r>
            <w:r w:rsidR="006B491D">
              <w:rPr>
                <w:noProof/>
                <w:webHidden/>
              </w:rPr>
              <w:fldChar w:fldCharType="end"/>
            </w:r>
          </w:hyperlink>
        </w:p>
        <w:p w14:paraId="70B17210" w14:textId="7AD11B0E" w:rsidR="006B491D" w:rsidRDefault="00002779">
          <w:pPr>
            <w:pStyle w:val="TOC3"/>
            <w:rPr>
              <w:rFonts w:asciiTheme="minorHAnsi" w:eastAsiaTheme="minorEastAsia" w:hAnsiTheme="minorHAnsi" w:cstheme="minorBidi"/>
              <w:i w:val="0"/>
              <w:iCs w:val="0"/>
              <w:noProof/>
              <w:sz w:val="22"/>
              <w:szCs w:val="22"/>
              <w:lang w:eastAsia="en-AU"/>
            </w:rPr>
          </w:pPr>
          <w:hyperlink w:anchor="_Toc57702473" w:history="1">
            <w:r w:rsidR="006B491D" w:rsidRPr="00FB2612">
              <w:rPr>
                <w:rStyle w:val="Hyperlink"/>
                <w:noProof/>
              </w:rPr>
              <w:t>4.2.5</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Clarification of Reference Set Status for LEMI:</w:t>
            </w:r>
            <w:r w:rsidR="006B491D">
              <w:rPr>
                <w:noProof/>
                <w:webHidden/>
              </w:rPr>
              <w:tab/>
            </w:r>
            <w:r w:rsidR="006B491D">
              <w:rPr>
                <w:noProof/>
                <w:webHidden/>
              </w:rPr>
              <w:fldChar w:fldCharType="begin"/>
            </w:r>
            <w:r w:rsidR="006B491D">
              <w:rPr>
                <w:noProof/>
                <w:webHidden/>
              </w:rPr>
              <w:instrText xml:space="preserve"> PAGEREF _Toc57702473 \h </w:instrText>
            </w:r>
            <w:r w:rsidR="006B491D">
              <w:rPr>
                <w:noProof/>
                <w:webHidden/>
              </w:rPr>
            </w:r>
            <w:r w:rsidR="006B491D">
              <w:rPr>
                <w:noProof/>
                <w:webHidden/>
              </w:rPr>
              <w:fldChar w:fldCharType="separate"/>
            </w:r>
            <w:r w:rsidR="005B1F80">
              <w:rPr>
                <w:noProof/>
                <w:webHidden/>
              </w:rPr>
              <w:t>11</w:t>
            </w:r>
            <w:r w:rsidR="006B491D">
              <w:rPr>
                <w:noProof/>
                <w:webHidden/>
              </w:rPr>
              <w:fldChar w:fldCharType="end"/>
            </w:r>
          </w:hyperlink>
        </w:p>
        <w:p w14:paraId="6271C513" w14:textId="2267050C" w:rsidR="006B491D" w:rsidRDefault="00002779">
          <w:pPr>
            <w:pStyle w:val="TOC3"/>
            <w:rPr>
              <w:rFonts w:asciiTheme="minorHAnsi" w:eastAsiaTheme="minorEastAsia" w:hAnsiTheme="minorHAnsi" w:cstheme="minorBidi"/>
              <w:i w:val="0"/>
              <w:iCs w:val="0"/>
              <w:noProof/>
              <w:sz w:val="22"/>
              <w:szCs w:val="22"/>
              <w:lang w:eastAsia="en-AU"/>
            </w:rPr>
          </w:pPr>
          <w:hyperlink w:anchor="_Toc57702474" w:history="1">
            <w:r w:rsidR="006B491D" w:rsidRPr="00FB2612">
              <w:rPr>
                <w:rStyle w:val="Hyperlink"/>
                <w:noProof/>
              </w:rPr>
              <w:t>4.2.6</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Incorporation of best practice guidelines and clinical decision making support within prescribing software</w:t>
            </w:r>
            <w:r w:rsidR="006B491D">
              <w:rPr>
                <w:noProof/>
                <w:webHidden/>
              </w:rPr>
              <w:tab/>
            </w:r>
            <w:r w:rsidR="006B491D">
              <w:rPr>
                <w:noProof/>
                <w:webHidden/>
              </w:rPr>
              <w:fldChar w:fldCharType="begin"/>
            </w:r>
            <w:r w:rsidR="006B491D">
              <w:rPr>
                <w:noProof/>
                <w:webHidden/>
              </w:rPr>
              <w:instrText xml:space="preserve"> PAGEREF _Toc57702474 \h </w:instrText>
            </w:r>
            <w:r w:rsidR="006B491D">
              <w:rPr>
                <w:noProof/>
                <w:webHidden/>
              </w:rPr>
            </w:r>
            <w:r w:rsidR="006B491D">
              <w:rPr>
                <w:noProof/>
                <w:webHidden/>
              </w:rPr>
              <w:fldChar w:fldCharType="separate"/>
            </w:r>
            <w:r w:rsidR="005B1F80">
              <w:rPr>
                <w:noProof/>
                <w:webHidden/>
              </w:rPr>
              <w:t>11</w:t>
            </w:r>
            <w:r w:rsidR="006B491D">
              <w:rPr>
                <w:noProof/>
                <w:webHidden/>
              </w:rPr>
              <w:fldChar w:fldCharType="end"/>
            </w:r>
          </w:hyperlink>
        </w:p>
        <w:p w14:paraId="41A24E15" w14:textId="65547717" w:rsidR="006B491D" w:rsidRDefault="00002779">
          <w:pPr>
            <w:pStyle w:val="TOC2"/>
            <w:rPr>
              <w:rFonts w:asciiTheme="minorHAnsi" w:eastAsiaTheme="minorEastAsia" w:hAnsiTheme="minorHAnsi" w:cstheme="minorBidi"/>
              <w:smallCaps w:val="0"/>
              <w:noProof/>
              <w:sz w:val="22"/>
              <w:szCs w:val="22"/>
              <w:lang w:eastAsia="en-AU"/>
            </w:rPr>
          </w:pPr>
          <w:hyperlink w:anchor="_Toc57702475" w:history="1">
            <w:r w:rsidR="006B491D" w:rsidRPr="00FB2612">
              <w:rPr>
                <w:rStyle w:val="Hyperlink"/>
                <w:noProof/>
              </w:rPr>
              <w:t>4.3</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Communications Support</w:t>
            </w:r>
            <w:r w:rsidR="006B491D">
              <w:rPr>
                <w:noProof/>
                <w:webHidden/>
              </w:rPr>
              <w:tab/>
            </w:r>
            <w:r w:rsidR="006B491D">
              <w:rPr>
                <w:noProof/>
                <w:webHidden/>
              </w:rPr>
              <w:fldChar w:fldCharType="begin"/>
            </w:r>
            <w:r w:rsidR="006B491D">
              <w:rPr>
                <w:noProof/>
                <w:webHidden/>
              </w:rPr>
              <w:instrText xml:space="preserve"> PAGEREF _Toc57702475 \h </w:instrText>
            </w:r>
            <w:r w:rsidR="006B491D">
              <w:rPr>
                <w:noProof/>
                <w:webHidden/>
              </w:rPr>
            </w:r>
            <w:r w:rsidR="006B491D">
              <w:rPr>
                <w:noProof/>
                <w:webHidden/>
              </w:rPr>
              <w:fldChar w:fldCharType="separate"/>
            </w:r>
            <w:r w:rsidR="005B1F80">
              <w:rPr>
                <w:noProof/>
                <w:webHidden/>
              </w:rPr>
              <w:t>11</w:t>
            </w:r>
            <w:r w:rsidR="006B491D">
              <w:rPr>
                <w:noProof/>
                <w:webHidden/>
              </w:rPr>
              <w:fldChar w:fldCharType="end"/>
            </w:r>
          </w:hyperlink>
        </w:p>
        <w:p w14:paraId="0A9A4FDA" w14:textId="121D9C30" w:rsidR="006B491D" w:rsidRDefault="00002779">
          <w:pPr>
            <w:pStyle w:val="TOC2"/>
            <w:rPr>
              <w:rFonts w:asciiTheme="minorHAnsi" w:eastAsiaTheme="minorEastAsia" w:hAnsiTheme="minorHAnsi" w:cstheme="minorBidi"/>
              <w:smallCaps w:val="0"/>
              <w:noProof/>
              <w:sz w:val="22"/>
              <w:szCs w:val="22"/>
              <w:lang w:eastAsia="en-AU"/>
            </w:rPr>
          </w:pPr>
          <w:hyperlink w:anchor="_Toc57702476" w:history="1">
            <w:r w:rsidR="006B491D" w:rsidRPr="00FB2612">
              <w:rPr>
                <w:rStyle w:val="Hyperlink"/>
                <w:noProof/>
              </w:rPr>
              <w:t>4.4</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Pharmacy Dispensing Vendors</w:t>
            </w:r>
            <w:r w:rsidR="006B491D">
              <w:rPr>
                <w:noProof/>
                <w:webHidden/>
              </w:rPr>
              <w:tab/>
            </w:r>
            <w:r w:rsidR="006B491D">
              <w:rPr>
                <w:noProof/>
                <w:webHidden/>
              </w:rPr>
              <w:fldChar w:fldCharType="begin"/>
            </w:r>
            <w:r w:rsidR="006B491D">
              <w:rPr>
                <w:noProof/>
                <w:webHidden/>
              </w:rPr>
              <w:instrText xml:space="preserve"> PAGEREF _Toc57702476 \h </w:instrText>
            </w:r>
            <w:r w:rsidR="006B491D">
              <w:rPr>
                <w:noProof/>
                <w:webHidden/>
              </w:rPr>
            </w:r>
            <w:r w:rsidR="006B491D">
              <w:rPr>
                <w:noProof/>
                <w:webHidden/>
              </w:rPr>
              <w:fldChar w:fldCharType="separate"/>
            </w:r>
            <w:r w:rsidR="005B1F80">
              <w:rPr>
                <w:noProof/>
                <w:webHidden/>
              </w:rPr>
              <w:t>12</w:t>
            </w:r>
            <w:r w:rsidR="006B491D">
              <w:rPr>
                <w:noProof/>
                <w:webHidden/>
              </w:rPr>
              <w:fldChar w:fldCharType="end"/>
            </w:r>
          </w:hyperlink>
        </w:p>
        <w:p w14:paraId="5CF617F7" w14:textId="61BB0F80"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477" w:history="1">
            <w:r w:rsidR="006B491D" w:rsidRPr="00FB2612">
              <w:rPr>
                <w:rStyle w:val="Hyperlink"/>
                <w:noProof/>
              </w:rPr>
              <w:t>5</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Guidelines for Implementation</w:t>
            </w:r>
            <w:r w:rsidR="006B491D">
              <w:rPr>
                <w:noProof/>
                <w:webHidden/>
              </w:rPr>
              <w:tab/>
            </w:r>
            <w:r w:rsidR="006B491D">
              <w:rPr>
                <w:noProof/>
                <w:webHidden/>
              </w:rPr>
              <w:fldChar w:fldCharType="begin"/>
            </w:r>
            <w:r w:rsidR="006B491D">
              <w:rPr>
                <w:noProof/>
                <w:webHidden/>
              </w:rPr>
              <w:instrText xml:space="preserve"> PAGEREF _Toc57702477 \h </w:instrText>
            </w:r>
            <w:r w:rsidR="006B491D">
              <w:rPr>
                <w:noProof/>
                <w:webHidden/>
              </w:rPr>
            </w:r>
            <w:r w:rsidR="006B491D">
              <w:rPr>
                <w:noProof/>
                <w:webHidden/>
              </w:rPr>
              <w:fldChar w:fldCharType="separate"/>
            </w:r>
            <w:r w:rsidR="005B1F80">
              <w:rPr>
                <w:noProof/>
                <w:webHidden/>
              </w:rPr>
              <w:t>12</w:t>
            </w:r>
            <w:r w:rsidR="006B491D">
              <w:rPr>
                <w:noProof/>
                <w:webHidden/>
              </w:rPr>
              <w:fldChar w:fldCharType="end"/>
            </w:r>
          </w:hyperlink>
        </w:p>
        <w:p w14:paraId="68023A4A" w14:textId="424B1753" w:rsidR="006B491D" w:rsidRDefault="00002779">
          <w:pPr>
            <w:pStyle w:val="TOC2"/>
            <w:rPr>
              <w:rFonts w:asciiTheme="minorHAnsi" w:eastAsiaTheme="minorEastAsia" w:hAnsiTheme="minorHAnsi" w:cstheme="minorBidi"/>
              <w:smallCaps w:val="0"/>
              <w:noProof/>
              <w:sz w:val="22"/>
              <w:szCs w:val="22"/>
              <w:lang w:eastAsia="en-AU"/>
            </w:rPr>
          </w:pPr>
          <w:hyperlink w:anchor="_Toc57702478" w:history="1">
            <w:r w:rsidR="006B491D" w:rsidRPr="00FB2612">
              <w:rPr>
                <w:rStyle w:val="Hyperlink"/>
                <w:noProof/>
              </w:rPr>
              <w:t>5.1</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Reminder of prescriber defaults supported by the software</w:t>
            </w:r>
            <w:r w:rsidR="006B491D">
              <w:rPr>
                <w:noProof/>
                <w:webHidden/>
              </w:rPr>
              <w:tab/>
            </w:r>
            <w:r w:rsidR="006B491D">
              <w:rPr>
                <w:noProof/>
                <w:webHidden/>
              </w:rPr>
              <w:fldChar w:fldCharType="begin"/>
            </w:r>
            <w:r w:rsidR="006B491D">
              <w:rPr>
                <w:noProof/>
                <w:webHidden/>
              </w:rPr>
              <w:instrText xml:space="preserve"> PAGEREF _Toc57702478 \h </w:instrText>
            </w:r>
            <w:r w:rsidR="006B491D">
              <w:rPr>
                <w:noProof/>
                <w:webHidden/>
              </w:rPr>
            </w:r>
            <w:r w:rsidR="006B491D">
              <w:rPr>
                <w:noProof/>
                <w:webHidden/>
              </w:rPr>
              <w:fldChar w:fldCharType="separate"/>
            </w:r>
            <w:r w:rsidR="005B1F80">
              <w:rPr>
                <w:noProof/>
                <w:webHidden/>
              </w:rPr>
              <w:t>12</w:t>
            </w:r>
            <w:r w:rsidR="006B491D">
              <w:rPr>
                <w:noProof/>
                <w:webHidden/>
              </w:rPr>
              <w:fldChar w:fldCharType="end"/>
            </w:r>
          </w:hyperlink>
        </w:p>
        <w:p w14:paraId="388327BD" w14:textId="583A0C30" w:rsidR="006B491D" w:rsidRDefault="00002779">
          <w:pPr>
            <w:pStyle w:val="TOC2"/>
            <w:rPr>
              <w:rFonts w:asciiTheme="minorHAnsi" w:eastAsiaTheme="minorEastAsia" w:hAnsiTheme="minorHAnsi" w:cstheme="minorBidi"/>
              <w:smallCaps w:val="0"/>
              <w:noProof/>
              <w:sz w:val="22"/>
              <w:szCs w:val="22"/>
              <w:lang w:eastAsia="en-AU"/>
            </w:rPr>
          </w:pPr>
          <w:hyperlink w:anchor="_Toc57702479" w:history="1">
            <w:r w:rsidR="006B491D" w:rsidRPr="00FB2612">
              <w:rPr>
                <w:rStyle w:val="Hyperlink"/>
                <w:noProof/>
              </w:rPr>
              <w:t>5.2</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Scenarios for On Screen Drug Selection</w:t>
            </w:r>
            <w:r w:rsidR="006B491D">
              <w:rPr>
                <w:noProof/>
                <w:webHidden/>
              </w:rPr>
              <w:tab/>
            </w:r>
            <w:r w:rsidR="006B491D">
              <w:rPr>
                <w:noProof/>
                <w:webHidden/>
              </w:rPr>
              <w:fldChar w:fldCharType="begin"/>
            </w:r>
            <w:r w:rsidR="006B491D">
              <w:rPr>
                <w:noProof/>
                <w:webHidden/>
              </w:rPr>
              <w:instrText xml:space="preserve"> PAGEREF _Toc57702479 \h </w:instrText>
            </w:r>
            <w:r w:rsidR="006B491D">
              <w:rPr>
                <w:noProof/>
                <w:webHidden/>
              </w:rPr>
            </w:r>
            <w:r w:rsidR="006B491D">
              <w:rPr>
                <w:noProof/>
                <w:webHidden/>
              </w:rPr>
              <w:fldChar w:fldCharType="separate"/>
            </w:r>
            <w:r w:rsidR="005B1F80">
              <w:rPr>
                <w:noProof/>
                <w:webHidden/>
              </w:rPr>
              <w:t>12</w:t>
            </w:r>
            <w:r w:rsidR="006B491D">
              <w:rPr>
                <w:noProof/>
                <w:webHidden/>
              </w:rPr>
              <w:fldChar w:fldCharType="end"/>
            </w:r>
          </w:hyperlink>
        </w:p>
        <w:p w14:paraId="1A9844FF" w14:textId="021D01B0" w:rsidR="006B491D" w:rsidRDefault="00002779">
          <w:pPr>
            <w:pStyle w:val="TOC3"/>
            <w:rPr>
              <w:rFonts w:asciiTheme="minorHAnsi" w:eastAsiaTheme="minorEastAsia" w:hAnsiTheme="minorHAnsi" w:cstheme="minorBidi"/>
              <w:i w:val="0"/>
              <w:iCs w:val="0"/>
              <w:noProof/>
              <w:sz w:val="22"/>
              <w:szCs w:val="22"/>
              <w:lang w:eastAsia="en-AU"/>
            </w:rPr>
          </w:pPr>
          <w:hyperlink w:anchor="_Toc57702480" w:history="1">
            <w:r w:rsidR="006B491D" w:rsidRPr="00FB2612">
              <w:rPr>
                <w:rStyle w:val="Hyperlink"/>
                <w:noProof/>
              </w:rPr>
              <w:t>5.2.1</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Prescriber selects the drug by Active Ingredient</w:t>
            </w:r>
            <w:r w:rsidR="006B491D">
              <w:rPr>
                <w:noProof/>
                <w:webHidden/>
              </w:rPr>
              <w:tab/>
            </w:r>
            <w:r w:rsidR="006B491D">
              <w:rPr>
                <w:noProof/>
                <w:webHidden/>
              </w:rPr>
              <w:fldChar w:fldCharType="begin"/>
            </w:r>
            <w:r w:rsidR="006B491D">
              <w:rPr>
                <w:noProof/>
                <w:webHidden/>
              </w:rPr>
              <w:instrText xml:space="preserve"> PAGEREF _Toc57702480 \h </w:instrText>
            </w:r>
            <w:r w:rsidR="006B491D">
              <w:rPr>
                <w:noProof/>
                <w:webHidden/>
              </w:rPr>
            </w:r>
            <w:r w:rsidR="006B491D">
              <w:rPr>
                <w:noProof/>
                <w:webHidden/>
              </w:rPr>
              <w:fldChar w:fldCharType="separate"/>
            </w:r>
            <w:r w:rsidR="005B1F80">
              <w:rPr>
                <w:noProof/>
                <w:webHidden/>
              </w:rPr>
              <w:t>12</w:t>
            </w:r>
            <w:r w:rsidR="006B491D">
              <w:rPr>
                <w:noProof/>
                <w:webHidden/>
              </w:rPr>
              <w:fldChar w:fldCharType="end"/>
            </w:r>
          </w:hyperlink>
        </w:p>
        <w:p w14:paraId="5E9B9B1D" w14:textId="19104840" w:rsidR="006B491D" w:rsidRDefault="00002779">
          <w:pPr>
            <w:pStyle w:val="TOC3"/>
            <w:rPr>
              <w:rFonts w:asciiTheme="minorHAnsi" w:eastAsiaTheme="minorEastAsia" w:hAnsiTheme="minorHAnsi" w:cstheme="minorBidi"/>
              <w:i w:val="0"/>
              <w:iCs w:val="0"/>
              <w:noProof/>
              <w:sz w:val="22"/>
              <w:szCs w:val="22"/>
              <w:lang w:eastAsia="en-AU"/>
            </w:rPr>
          </w:pPr>
          <w:hyperlink w:anchor="_Toc57702481" w:history="1">
            <w:r w:rsidR="006B491D" w:rsidRPr="00FB2612">
              <w:rPr>
                <w:rStyle w:val="Hyperlink"/>
                <w:noProof/>
              </w:rPr>
              <w:t>5.2.2</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According to the presentation provided by the software vendor, the screen may display the originator brand and the generic brands if available. Prescriber selects the drug by Brand</w:t>
            </w:r>
            <w:r w:rsidR="006B491D">
              <w:rPr>
                <w:noProof/>
                <w:webHidden/>
              </w:rPr>
              <w:tab/>
            </w:r>
            <w:r w:rsidR="006B491D">
              <w:rPr>
                <w:noProof/>
                <w:webHidden/>
              </w:rPr>
              <w:fldChar w:fldCharType="begin"/>
            </w:r>
            <w:r w:rsidR="006B491D">
              <w:rPr>
                <w:noProof/>
                <w:webHidden/>
              </w:rPr>
              <w:instrText xml:space="preserve"> PAGEREF _Toc57702481 \h </w:instrText>
            </w:r>
            <w:r w:rsidR="006B491D">
              <w:rPr>
                <w:noProof/>
                <w:webHidden/>
              </w:rPr>
            </w:r>
            <w:r w:rsidR="006B491D">
              <w:rPr>
                <w:noProof/>
                <w:webHidden/>
              </w:rPr>
              <w:fldChar w:fldCharType="separate"/>
            </w:r>
            <w:r w:rsidR="005B1F80">
              <w:rPr>
                <w:noProof/>
                <w:webHidden/>
              </w:rPr>
              <w:t>13</w:t>
            </w:r>
            <w:r w:rsidR="006B491D">
              <w:rPr>
                <w:noProof/>
                <w:webHidden/>
              </w:rPr>
              <w:fldChar w:fldCharType="end"/>
            </w:r>
          </w:hyperlink>
        </w:p>
        <w:p w14:paraId="129A9562" w14:textId="2E6461C4" w:rsidR="006B491D" w:rsidRDefault="00002779">
          <w:pPr>
            <w:pStyle w:val="TOC3"/>
            <w:rPr>
              <w:rFonts w:asciiTheme="minorHAnsi" w:eastAsiaTheme="minorEastAsia" w:hAnsiTheme="minorHAnsi" w:cstheme="minorBidi"/>
              <w:i w:val="0"/>
              <w:iCs w:val="0"/>
              <w:noProof/>
              <w:sz w:val="22"/>
              <w:szCs w:val="22"/>
              <w:lang w:eastAsia="en-AU"/>
            </w:rPr>
          </w:pPr>
          <w:hyperlink w:anchor="_Toc57702482" w:history="1">
            <w:r w:rsidR="006B491D" w:rsidRPr="00FB2612">
              <w:rPr>
                <w:rStyle w:val="Hyperlink"/>
                <w:noProof/>
              </w:rPr>
              <w:t>5.2.3</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The prescriber must make a clinical decision on the application of the brand name- Impact of this regulation</w:t>
            </w:r>
            <w:r w:rsidR="006B491D">
              <w:rPr>
                <w:noProof/>
                <w:webHidden/>
              </w:rPr>
              <w:tab/>
            </w:r>
            <w:r w:rsidR="006B491D">
              <w:rPr>
                <w:noProof/>
                <w:webHidden/>
              </w:rPr>
              <w:fldChar w:fldCharType="begin"/>
            </w:r>
            <w:r w:rsidR="006B491D">
              <w:rPr>
                <w:noProof/>
                <w:webHidden/>
              </w:rPr>
              <w:instrText xml:space="preserve"> PAGEREF _Toc57702482 \h </w:instrText>
            </w:r>
            <w:r w:rsidR="006B491D">
              <w:rPr>
                <w:noProof/>
                <w:webHidden/>
              </w:rPr>
            </w:r>
            <w:r w:rsidR="006B491D">
              <w:rPr>
                <w:noProof/>
                <w:webHidden/>
              </w:rPr>
              <w:fldChar w:fldCharType="separate"/>
            </w:r>
            <w:r w:rsidR="005B1F80">
              <w:rPr>
                <w:noProof/>
                <w:webHidden/>
              </w:rPr>
              <w:t>13</w:t>
            </w:r>
            <w:r w:rsidR="006B491D">
              <w:rPr>
                <w:noProof/>
                <w:webHidden/>
              </w:rPr>
              <w:fldChar w:fldCharType="end"/>
            </w:r>
          </w:hyperlink>
        </w:p>
        <w:p w14:paraId="4F618F04" w14:textId="2448812E" w:rsidR="006B491D" w:rsidRDefault="00002779">
          <w:pPr>
            <w:pStyle w:val="TOC2"/>
            <w:rPr>
              <w:rFonts w:asciiTheme="minorHAnsi" w:eastAsiaTheme="minorEastAsia" w:hAnsiTheme="minorHAnsi" w:cstheme="minorBidi"/>
              <w:smallCaps w:val="0"/>
              <w:noProof/>
              <w:sz w:val="22"/>
              <w:szCs w:val="22"/>
              <w:lang w:eastAsia="en-AU"/>
            </w:rPr>
          </w:pPr>
          <w:hyperlink w:anchor="_Toc57702483" w:history="1">
            <w:r w:rsidR="006B491D" w:rsidRPr="00FB2612">
              <w:rPr>
                <w:rStyle w:val="Hyperlink"/>
                <w:noProof/>
              </w:rPr>
              <w:t>5.3</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"Brand substitution not permitted"</w:t>
            </w:r>
            <w:r w:rsidR="006B491D">
              <w:rPr>
                <w:noProof/>
                <w:webHidden/>
              </w:rPr>
              <w:tab/>
            </w:r>
            <w:r w:rsidR="006B491D">
              <w:rPr>
                <w:noProof/>
                <w:webHidden/>
              </w:rPr>
              <w:fldChar w:fldCharType="begin"/>
            </w:r>
            <w:r w:rsidR="006B491D">
              <w:rPr>
                <w:noProof/>
                <w:webHidden/>
              </w:rPr>
              <w:instrText xml:space="preserve"> PAGEREF _Toc57702483 \h </w:instrText>
            </w:r>
            <w:r w:rsidR="006B491D">
              <w:rPr>
                <w:noProof/>
                <w:webHidden/>
              </w:rPr>
            </w:r>
            <w:r w:rsidR="006B491D">
              <w:rPr>
                <w:noProof/>
                <w:webHidden/>
              </w:rPr>
              <w:fldChar w:fldCharType="separate"/>
            </w:r>
            <w:r w:rsidR="005B1F80">
              <w:rPr>
                <w:noProof/>
                <w:webHidden/>
              </w:rPr>
              <w:t>13</w:t>
            </w:r>
            <w:r w:rsidR="006B491D">
              <w:rPr>
                <w:noProof/>
                <w:webHidden/>
              </w:rPr>
              <w:fldChar w:fldCharType="end"/>
            </w:r>
          </w:hyperlink>
        </w:p>
        <w:p w14:paraId="6CB8720E" w14:textId="20143FC5" w:rsidR="006B491D" w:rsidRDefault="00002779">
          <w:pPr>
            <w:pStyle w:val="TOC2"/>
            <w:rPr>
              <w:rFonts w:asciiTheme="minorHAnsi" w:eastAsiaTheme="minorEastAsia" w:hAnsiTheme="minorHAnsi" w:cstheme="minorBidi"/>
              <w:smallCaps w:val="0"/>
              <w:noProof/>
              <w:sz w:val="22"/>
              <w:szCs w:val="22"/>
              <w:lang w:eastAsia="en-AU"/>
            </w:rPr>
          </w:pPr>
          <w:hyperlink w:anchor="_Toc57702484" w:history="1">
            <w:r w:rsidR="006B491D" w:rsidRPr="00FB2612">
              <w:rPr>
                <w:rStyle w:val="Hyperlink"/>
                <w:noProof/>
              </w:rPr>
              <w:t>5.4</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Scenario where alternate brands are non-Bioequivalent</w:t>
            </w:r>
            <w:r w:rsidR="006B491D">
              <w:rPr>
                <w:noProof/>
                <w:webHidden/>
              </w:rPr>
              <w:tab/>
            </w:r>
            <w:r w:rsidR="006B491D">
              <w:rPr>
                <w:noProof/>
                <w:webHidden/>
              </w:rPr>
              <w:fldChar w:fldCharType="begin"/>
            </w:r>
            <w:r w:rsidR="006B491D">
              <w:rPr>
                <w:noProof/>
                <w:webHidden/>
              </w:rPr>
              <w:instrText xml:space="preserve"> PAGEREF _Toc57702484 \h </w:instrText>
            </w:r>
            <w:r w:rsidR="006B491D">
              <w:rPr>
                <w:noProof/>
                <w:webHidden/>
              </w:rPr>
            </w:r>
            <w:r w:rsidR="006B491D">
              <w:rPr>
                <w:noProof/>
                <w:webHidden/>
              </w:rPr>
              <w:fldChar w:fldCharType="separate"/>
            </w:r>
            <w:r w:rsidR="005B1F80">
              <w:rPr>
                <w:noProof/>
                <w:webHidden/>
              </w:rPr>
              <w:t>14</w:t>
            </w:r>
            <w:r w:rsidR="006B491D">
              <w:rPr>
                <w:noProof/>
                <w:webHidden/>
              </w:rPr>
              <w:fldChar w:fldCharType="end"/>
            </w:r>
          </w:hyperlink>
        </w:p>
        <w:p w14:paraId="7AFC689C" w14:textId="65E10E83" w:rsidR="006B491D" w:rsidRDefault="00002779">
          <w:pPr>
            <w:pStyle w:val="TOC3"/>
            <w:rPr>
              <w:rFonts w:asciiTheme="minorHAnsi" w:eastAsiaTheme="minorEastAsia" w:hAnsiTheme="minorHAnsi" w:cstheme="minorBidi"/>
              <w:i w:val="0"/>
              <w:iCs w:val="0"/>
              <w:noProof/>
              <w:sz w:val="22"/>
              <w:szCs w:val="22"/>
              <w:lang w:eastAsia="en-AU"/>
            </w:rPr>
          </w:pPr>
          <w:hyperlink w:anchor="_Toc57702485" w:history="1">
            <w:r w:rsidR="006B491D" w:rsidRPr="00FB2612">
              <w:rPr>
                <w:rStyle w:val="Hyperlink"/>
                <w:noProof/>
              </w:rPr>
              <w:t>5.4.1</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Support information published by NPS MedicineWise ®</w:t>
            </w:r>
            <w:r w:rsidR="006B491D">
              <w:rPr>
                <w:noProof/>
                <w:webHidden/>
              </w:rPr>
              <w:tab/>
            </w:r>
            <w:r w:rsidR="006B491D">
              <w:rPr>
                <w:noProof/>
                <w:webHidden/>
              </w:rPr>
              <w:fldChar w:fldCharType="begin"/>
            </w:r>
            <w:r w:rsidR="006B491D">
              <w:rPr>
                <w:noProof/>
                <w:webHidden/>
              </w:rPr>
              <w:instrText xml:space="preserve"> PAGEREF _Toc57702485 \h </w:instrText>
            </w:r>
            <w:r w:rsidR="006B491D">
              <w:rPr>
                <w:noProof/>
                <w:webHidden/>
              </w:rPr>
            </w:r>
            <w:r w:rsidR="006B491D">
              <w:rPr>
                <w:noProof/>
                <w:webHidden/>
              </w:rPr>
              <w:fldChar w:fldCharType="separate"/>
            </w:r>
            <w:r w:rsidR="005B1F80">
              <w:rPr>
                <w:noProof/>
                <w:webHidden/>
              </w:rPr>
              <w:t>14</w:t>
            </w:r>
            <w:r w:rsidR="006B491D">
              <w:rPr>
                <w:noProof/>
                <w:webHidden/>
              </w:rPr>
              <w:fldChar w:fldCharType="end"/>
            </w:r>
          </w:hyperlink>
        </w:p>
        <w:p w14:paraId="40462DAB" w14:textId="64072326" w:rsidR="006B491D" w:rsidRDefault="00002779">
          <w:pPr>
            <w:pStyle w:val="TOC3"/>
            <w:rPr>
              <w:rFonts w:asciiTheme="minorHAnsi" w:eastAsiaTheme="minorEastAsia" w:hAnsiTheme="minorHAnsi" w:cstheme="minorBidi"/>
              <w:i w:val="0"/>
              <w:iCs w:val="0"/>
              <w:noProof/>
              <w:sz w:val="22"/>
              <w:szCs w:val="22"/>
              <w:lang w:eastAsia="en-AU"/>
            </w:rPr>
          </w:pPr>
          <w:hyperlink w:anchor="_Toc57702486" w:history="1">
            <w:r w:rsidR="006B491D" w:rsidRPr="00FB2612">
              <w:rPr>
                <w:rStyle w:val="Hyperlink"/>
                <w:noProof/>
              </w:rPr>
              <w:t>5.4.2</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Prescriber selects the drug by active ingredient name</w:t>
            </w:r>
            <w:r w:rsidR="006B491D">
              <w:rPr>
                <w:noProof/>
                <w:webHidden/>
              </w:rPr>
              <w:tab/>
            </w:r>
            <w:r w:rsidR="006B491D">
              <w:rPr>
                <w:noProof/>
                <w:webHidden/>
              </w:rPr>
              <w:fldChar w:fldCharType="begin"/>
            </w:r>
            <w:r w:rsidR="006B491D">
              <w:rPr>
                <w:noProof/>
                <w:webHidden/>
              </w:rPr>
              <w:instrText xml:space="preserve"> PAGEREF _Toc57702486 \h </w:instrText>
            </w:r>
            <w:r w:rsidR="006B491D">
              <w:rPr>
                <w:noProof/>
                <w:webHidden/>
              </w:rPr>
            </w:r>
            <w:r w:rsidR="006B491D">
              <w:rPr>
                <w:noProof/>
                <w:webHidden/>
              </w:rPr>
              <w:fldChar w:fldCharType="separate"/>
            </w:r>
            <w:r w:rsidR="005B1F80">
              <w:rPr>
                <w:noProof/>
                <w:webHidden/>
              </w:rPr>
              <w:t>14</w:t>
            </w:r>
            <w:r w:rsidR="006B491D">
              <w:rPr>
                <w:noProof/>
                <w:webHidden/>
              </w:rPr>
              <w:fldChar w:fldCharType="end"/>
            </w:r>
          </w:hyperlink>
        </w:p>
        <w:p w14:paraId="5F52E2D8" w14:textId="222869BD" w:rsidR="006B491D" w:rsidRDefault="00002779">
          <w:pPr>
            <w:pStyle w:val="TOC3"/>
            <w:rPr>
              <w:rFonts w:asciiTheme="minorHAnsi" w:eastAsiaTheme="minorEastAsia" w:hAnsiTheme="minorHAnsi" w:cstheme="minorBidi"/>
              <w:i w:val="0"/>
              <w:iCs w:val="0"/>
              <w:noProof/>
              <w:sz w:val="22"/>
              <w:szCs w:val="22"/>
              <w:lang w:eastAsia="en-AU"/>
            </w:rPr>
          </w:pPr>
          <w:hyperlink w:anchor="_Toc57702487" w:history="1">
            <w:r w:rsidR="006B491D" w:rsidRPr="00FB2612">
              <w:rPr>
                <w:rStyle w:val="Hyperlink"/>
                <w:noProof/>
              </w:rPr>
              <w:t>5.4.3</w:t>
            </w:r>
            <w:r w:rsidR="006B491D">
              <w:rPr>
                <w:rFonts w:asciiTheme="minorHAnsi" w:eastAsiaTheme="minorEastAsia" w:hAnsiTheme="minorHAnsi" w:cstheme="minorBidi"/>
                <w:i w:val="0"/>
                <w:iCs w:val="0"/>
                <w:noProof/>
                <w:sz w:val="22"/>
                <w:szCs w:val="22"/>
                <w:lang w:eastAsia="en-AU"/>
              </w:rPr>
              <w:tab/>
            </w:r>
            <w:r w:rsidR="006B491D" w:rsidRPr="00FB2612">
              <w:rPr>
                <w:rStyle w:val="Hyperlink"/>
                <w:noProof/>
              </w:rPr>
              <w:t>Prescriber selects the drug by Brand</w:t>
            </w:r>
            <w:r w:rsidR="006B491D">
              <w:rPr>
                <w:noProof/>
                <w:webHidden/>
              </w:rPr>
              <w:tab/>
            </w:r>
            <w:r w:rsidR="006B491D">
              <w:rPr>
                <w:noProof/>
                <w:webHidden/>
              </w:rPr>
              <w:fldChar w:fldCharType="begin"/>
            </w:r>
            <w:r w:rsidR="006B491D">
              <w:rPr>
                <w:noProof/>
                <w:webHidden/>
              </w:rPr>
              <w:instrText xml:space="preserve"> PAGEREF _Toc57702487 \h </w:instrText>
            </w:r>
            <w:r w:rsidR="006B491D">
              <w:rPr>
                <w:noProof/>
                <w:webHidden/>
              </w:rPr>
            </w:r>
            <w:r w:rsidR="006B491D">
              <w:rPr>
                <w:noProof/>
                <w:webHidden/>
              </w:rPr>
              <w:fldChar w:fldCharType="separate"/>
            </w:r>
            <w:r w:rsidR="005B1F80">
              <w:rPr>
                <w:noProof/>
                <w:webHidden/>
              </w:rPr>
              <w:t>15</w:t>
            </w:r>
            <w:r w:rsidR="006B491D">
              <w:rPr>
                <w:noProof/>
                <w:webHidden/>
              </w:rPr>
              <w:fldChar w:fldCharType="end"/>
            </w:r>
          </w:hyperlink>
        </w:p>
        <w:p w14:paraId="09D55DA0" w14:textId="0F8F8A35" w:rsidR="006B491D" w:rsidRDefault="00002779">
          <w:pPr>
            <w:pStyle w:val="TOC2"/>
            <w:rPr>
              <w:rFonts w:asciiTheme="minorHAnsi" w:eastAsiaTheme="minorEastAsia" w:hAnsiTheme="minorHAnsi" w:cstheme="minorBidi"/>
              <w:smallCaps w:val="0"/>
              <w:noProof/>
              <w:sz w:val="22"/>
              <w:szCs w:val="22"/>
              <w:lang w:eastAsia="en-AU"/>
            </w:rPr>
          </w:pPr>
          <w:hyperlink w:anchor="_Toc57702488" w:history="1">
            <w:r w:rsidR="006B491D" w:rsidRPr="00FB2612">
              <w:rPr>
                <w:rStyle w:val="Hyperlink"/>
                <w:noProof/>
              </w:rPr>
              <w:t>It is a requirement to include the active ingredient name prior to the brand.</w:t>
            </w:r>
            <w:r w:rsidR="006B491D">
              <w:rPr>
                <w:noProof/>
                <w:webHidden/>
              </w:rPr>
              <w:tab/>
            </w:r>
            <w:r w:rsidR="006B491D">
              <w:rPr>
                <w:noProof/>
                <w:webHidden/>
              </w:rPr>
              <w:fldChar w:fldCharType="begin"/>
            </w:r>
            <w:r w:rsidR="006B491D">
              <w:rPr>
                <w:noProof/>
                <w:webHidden/>
              </w:rPr>
              <w:instrText xml:space="preserve"> PAGEREF _Toc57702488 \h </w:instrText>
            </w:r>
            <w:r w:rsidR="006B491D">
              <w:rPr>
                <w:noProof/>
                <w:webHidden/>
              </w:rPr>
            </w:r>
            <w:r w:rsidR="006B491D">
              <w:rPr>
                <w:noProof/>
                <w:webHidden/>
              </w:rPr>
              <w:fldChar w:fldCharType="separate"/>
            </w:r>
            <w:r w:rsidR="005B1F80">
              <w:rPr>
                <w:noProof/>
                <w:webHidden/>
              </w:rPr>
              <w:t>15</w:t>
            </w:r>
            <w:r w:rsidR="006B491D">
              <w:rPr>
                <w:noProof/>
                <w:webHidden/>
              </w:rPr>
              <w:fldChar w:fldCharType="end"/>
            </w:r>
          </w:hyperlink>
        </w:p>
        <w:p w14:paraId="59757ED7" w14:textId="2B8853A9" w:rsidR="006B491D" w:rsidRDefault="00002779">
          <w:pPr>
            <w:pStyle w:val="TOC2"/>
            <w:rPr>
              <w:rFonts w:asciiTheme="minorHAnsi" w:eastAsiaTheme="minorEastAsia" w:hAnsiTheme="minorHAnsi" w:cstheme="minorBidi"/>
              <w:smallCaps w:val="0"/>
              <w:noProof/>
              <w:sz w:val="22"/>
              <w:szCs w:val="22"/>
              <w:lang w:eastAsia="en-AU"/>
            </w:rPr>
          </w:pPr>
          <w:hyperlink w:anchor="_Toc57702489" w:history="1">
            <w:r w:rsidR="006B491D" w:rsidRPr="00FB2612">
              <w:rPr>
                <w:rStyle w:val="Hyperlink"/>
                <w:noProof/>
              </w:rPr>
              <w:t>5.5</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F1 Medicines</w:t>
            </w:r>
            <w:r w:rsidR="006B491D">
              <w:rPr>
                <w:noProof/>
                <w:webHidden/>
              </w:rPr>
              <w:tab/>
            </w:r>
            <w:r w:rsidR="006B491D">
              <w:rPr>
                <w:noProof/>
                <w:webHidden/>
              </w:rPr>
              <w:fldChar w:fldCharType="begin"/>
            </w:r>
            <w:r w:rsidR="006B491D">
              <w:rPr>
                <w:noProof/>
                <w:webHidden/>
              </w:rPr>
              <w:instrText xml:space="preserve"> PAGEREF _Toc57702489 \h </w:instrText>
            </w:r>
            <w:r w:rsidR="006B491D">
              <w:rPr>
                <w:noProof/>
                <w:webHidden/>
              </w:rPr>
            </w:r>
            <w:r w:rsidR="006B491D">
              <w:rPr>
                <w:noProof/>
                <w:webHidden/>
              </w:rPr>
              <w:fldChar w:fldCharType="separate"/>
            </w:r>
            <w:r w:rsidR="005B1F80">
              <w:rPr>
                <w:noProof/>
                <w:webHidden/>
              </w:rPr>
              <w:t>15</w:t>
            </w:r>
            <w:r w:rsidR="006B491D">
              <w:rPr>
                <w:noProof/>
                <w:webHidden/>
              </w:rPr>
              <w:fldChar w:fldCharType="end"/>
            </w:r>
          </w:hyperlink>
        </w:p>
        <w:p w14:paraId="0B8FF565" w14:textId="5EDD727A" w:rsidR="006B491D" w:rsidRDefault="00002779">
          <w:pPr>
            <w:pStyle w:val="TOC2"/>
            <w:rPr>
              <w:rFonts w:asciiTheme="minorHAnsi" w:eastAsiaTheme="minorEastAsia" w:hAnsiTheme="minorHAnsi" w:cstheme="minorBidi"/>
              <w:smallCaps w:val="0"/>
              <w:noProof/>
              <w:sz w:val="22"/>
              <w:szCs w:val="22"/>
              <w:lang w:eastAsia="en-AU"/>
            </w:rPr>
          </w:pPr>
          <w:hyperlink w:anchor="_Toc57702490" w:history="1">
            <w:r w:rsidR="006B491D" w:rsidRPr="00FB2612">
              <w:rPr>
                <w:rStyle w:val="Hyperlink"/>
                <w:noProof/>
              </w:rPr>
              <w:t>Prescriptions for F1 medicines (i.e. Originator products for which no generic alternative is available) must also include the active ingredient(s) first with the requirement that the prescriber must specifically indicate if the brand name is to be included on the prescription - see section 5.2.3.</w:t>
            </w:r>
            <w:r w:rsidR="006B491D">
              <w:rPr>
                <w:noProof/>
                <w:webHidden/>
              </w:rPr>
              <w:tab/>
            </w:r>
            <w:r w:rsidR="006B491D">
              <w:rPr>
                <w:noProof/>
                <w:webHidden/>
              </w:rPr>
              <w:fldChar w:fldCharType="begin"/>
            </w:r>
            <w:r w:rsidR="006B491D">
              <w:rPr>
                <w:noProof/>
                <w:webHidden/>
              </w:rPr>
              <w:instrText xml:space="preserve"> PAGEREF _Toc57702490 \h </w:instrText>
            </w:r>
            <w:r w:rsidR="006B491D">
              <w:rPr>
                <w:noProof/>
                <w:webHidden/>
              </w:rPr>
            </w:r>
            <w:r w:rsidR="006B491D">
              <w:rPr>
                <w:noProof/>
                <w:webHidden/>
              </w:rPr>
              <w:fldChar w:fldCharType="separate"/>
            </w:r>
            <w:r w:rsidR="005B1F80">
              <w:rPr>
                <w:noProof/>
                <w:webHidden/>
              </w:rPr>
              <w:t>15</w:t>
            </w:r>
            <w:r w:rsidR="006B491D">
              <w:rPr>
                <w:noProof/>
                <w:webHidden/>
              </w:rPr>
              <w:fldChar w:fldCharType="end"/>
            </w:r>
          </w:hyperlink>
        </w:p>
        <w:p w14:paraId="2CC5DDC3" w14:textId="1E8BDF08" w:rsidR="006B491D" w:rsidRDefault="00002779">
          <w:pPr>
            <w:pStyle w:val="TOC2"/>
            <w:rPr>
              <w:rFonts w:asciiTheme="minorHAnsi" w:eastAsiaTheme="minorEastAsia" w:hAnsiTheme="minorHAnsi" w:cstheme="minorBidi"/>
              <w:smallCaps w:val="0"/>
              <w:noProof/>
              <w:sz w:val="22"/>
              <w:szCs w:val="22"/>
              <w:lang w:eastAsia="en-AU"/>
            </w:rPr>
          </w:pPr>
          <w:hyperlink w:anchor="_Toc57702491" w:history="1">
            <w:r w:rsidR="006B491D" w:rsidRPr="00FB2612">
              <w:rPr>
                <w:rStyle w:val="Hyperlink"/>
                <w:noProof/>
              </w:rPr>
              <w:t>5.6</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Practical issues associated with the formatting of printed prescriptions</w:t>
            </w:r>
            <w:r w:rsidR="006B491D">
              <w:rPr>
                <w:noProof/>
                <w:webHidden/>
              </w:rPr>
              <w:tab/>
            </w:r>
            <w:r w:rsidR="006B491D">
              <w:rPr>
                <w:noProof/>
                <w:webHidden/>
              </w:rPr>
              <w:fldChar w:fldCharType="begin"/>
            </w:r>
            <w:r w:rsidR="006B491D">
              <w:rPr>
                <w:noProof/>
                <w:webHidden/>
              </w:rPr>
              <w:instrText xml:space="preserve"> PAGEREF _Toc57702491 \h </w:instrText>
            </w:r>
            <w:r w:rsidR="006B491D">
              <w:rPr>
                <w:noProof/>
                <w:webHidden/>
              </w:rPr>
            </w:r>
            <w:r w:rsidR="006B491D">
              <w:rPr>
                <w:noProof/>
                <w:webHidden/>
              </w:rPr>
              <w:fldChar w:fldCharType="separate"/>
            </w:r>
            <w:r w:rsidR="005B1F80">
              <w:rPr>
                <w:noProof/>
                <w:webHidden/>
              </w:rPr>
              <w:t>15</w:t>
            </w:r>
            <w:r w:rsidR="006B491D">
              <w:rPr>
                <w:noProof/>
                <w:webHidden/>
              </w:rPr>
              <w:fldChar w:fldCharType="end"/>
            </w:r>
          </w:hyperlink>
        </w:p>
        <w:p w14:paraId="3DD952EA" w14:textId="22228ADC" w:rsidR="006B491D" w:rsidRDefault="00002779">
          <w:pPr>
            <w:pStyle w:val="TOC2"/>
            <w:rPr>
              <w:rFonts w:asciiTheme="minorHAnsi" w:eastAsiaTheme="minorEastAsia" w:hAnsiTheme="minorHAnsi" w:cstheme="minorBidi"/>
              <w:smallCaps w:val="0"/>
              <w:noProof/>
              <w:sz w:val="22"/>
              <w:szCs w:val="22"/>
              <w:lang w:eastAsia="en-AU"/>
            </w:rPr>
          </w:pPr>
          <w:hyperlink w:anchor="_Toc57702492" w:history="1">
            <w:r w:rsidR="006B491D" w:rsidRPr="00FB2612">
              <w:rPr>
                <w:rStyle w:val="Hyperlink"/>
                <w:noProof/>
              </w:rPr>
              <w:t>5.7</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Importance of Consistency</w:t>
            </w:r>
            <w:r w:rsidR="006B491D">
              <w:rPr>
                <w:noProof/>
                <w:webHidden/>
              </w:rPr>
              <w:tab/>
            </w:r>
            <w:r w:rsidR="006B491D">
              <w:rPr>
                <w:noProof/>
                <w:webHidden/>
              </w:rPr>
              <w:fldChar w:fldCharType="begin"/>
            </w:r>
            <w:r w:rsidR="006B491D">
              <w:rPr>
                <w:noProof/>
                <w:webHidden/>
              </w:rPr>
              <w:instrText xml:space="preserve"> PAGEREF _Toc57702492 \h </w:instrText>
            </w:r>
            <w:r w:rsidR="006B491D">
              <w:rPr>
                <w:noProof/>
                <w:webHidden/>
              </w:rPr>
            </w:r>
            <w:r w:rsidR="006B491D">
              <w:rPr>
                <w:noProof/>
                <w:webHidden/>
              </w:rPr>
              <w:fldChar w:fldCharType="separate"/>
            </w:r>
            <w:r w:rsidR="005B1F80">
              <w:rPr>
                <w:noProof/>
                <w:webHidden/>
              </w:rPr>
              <w:t>15</w:t>
            </w:r>
            <w:r w:rsidR="006B491D">
              <w:rPr>
                <w:noProof/>
                <w:webHidden/>
              </w:rPr>
              <w:fldChar w:fldCharType="end"/>
            </w:r>
          </w:hyperlink>
        </w:p>
        <w:p w14:paraId="554EA303" w14:textId="0657853F"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493" w:history="1">
            <w:r w:rsidR="006B491D" w:rsidRPr="00FB2612">
              <w:rPr>
                <w:rStyle w:val="Hyperlink"/>
                <w:noProof/>
              </w:rPr>
              <w:t>6</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Situations excluded under the Active Ingredient Prescribing Legislations (LEMI)</w:t>
            </w:r>
            <w:r w:rsidR="006B491D">
              <w:rPr>
                <w:noProof/>
                <w:webHidden/>
              </w:rPr>
              <w:tab/>
            </w:r>
            <w:r w:rsidR="006B491D">
              <w:rPr>
                <w:noProof/>
                <w:webHidden/>
              </w:rPr>
              <w:fldChar w:fldCharType="begin"/>
            </w:r>
            <w:r w:rsidR="006B491D">
              <w:rPr>
                <w:noProof/>
                <w:webHidden/>
              </w:rPr>
              <w:instrText xml:space="preserve"> PAGEREF _Toc57702493 \h </w:instrText>
            </w:r>
            <w:r w:rsidR="006B491D">
              <w:rPr>
                <w:noProof/>
                <w:webHidden/>
              </w:rPr>
            </w:r>
            <w:r w:rsidR="006B491D">
              <w:rPr>
                <w:noProof/>
                <w:webHidden/>
              </w:rPr>
              <w:fldChar w:fldCharType="separate"/>
            </w:r>
            <w:r w:rsidR="005B1F80">
              <w:rPr>
                <w:noProof/>
                <w:webHidden/>
              </w:rPr>
              <w:t>16</w:t>
            </w:r>
            <w:r w:rsidR="006B491D">
              <w:rPr>
                <w:noProof/>
                <w:webHidden/>
              </w:rPr>
              <w:fldChar w:fldCharType="end"/>
            </w:r>
          </w:hyperlink>
        </w:p>
        <w:p w14:paraId="44D09949" w14:textId="0E27054E" w:rsidR="006B491D" w:rsidRDefault="00002779">
          <w:pPr>
            <w:pStyle w:val="TOC2"/>
            <w:rPr>
              <w:rFonts w:asciiTheme="minorHAnsi" w:eastAsiaTheme="minorEastAsia" w:hAnsiTheme="minorHAnsi" w:cstheme="minorBidi"/>
              <w:smallCaps w:val="0"/>
              <w:noProof/>
              <w:sz w:val="22"/>
              <w:szCs w:val="22"/>
              <w:lang w:eastAsia="en-AU"/>
            </w:rPr>
          </w:pPr>
          <w:hyperlink w:anchor="_Toc57702494" w:history="1">
            <w:r w:rsidR="006B491D" w:rsidRPr="00FB2612">
              <w:rPr>
                <w:rStyle w:val="Hyperlink"/>
                <w:noProof/>
                <w:w w:val="105"/>
              </w:rPr>
              <w:t>6.1</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w w:val="105"/>
              </w:rPr>
              <w:t>Free Text Function</w:t>
            </w:r>
            <w:r w:rsidR="006B491D">
              <w:rPr>
                <w:noProof/>
                <w:webHidden/>
              </w:rPr>
              <w:tab/>
            </w:r>
            <w:r w:rsidR="006B491D">
              <w:rPr>
                <w:noProof/>
                <w:webHidden/>
              </w:rPr>
              <w:fldChar w:fldCharType="begin"/>
            </w:r>
            <w:r w:rsidR="006B491D">
              <w:rPr>
                <w:noProof/>
                <w:webHidden/>
              </w:rPr>
              <w:instrText xml:space="preserve"> PAGEREF _Toc57702494 \h </w:instrText>
            </w:r>
            <w:r w:rsidR="006B491D">
              <w:rPr>
                <w:noProof/>
                <w:webHidden/>
              </w:rPr>
            </w:r>
            <w:r w:rsidR="006B491D">
              <w:rPr>
                <w:noProof/>
                <w:webHidden/>
              </w:rPr>
              <w:fldChar w:fldCharType="separate"/>
            </w:r>
            <w:r w:rsidR="005B1F80">
              <w:rPr>
                <w:noProof/>
                <w:webHidden/>
              </w:rPr>
              <w:t>16</w:t>
            </w:r>
            <w:r w:rsidR="006B491D">
              <w:rPr>
                <w:noProof/>
                <w:webHidden/>
              </w:rPr>
              <w:fldChar w:fldCharType="end"/>
            </w:r>
          </w:hyperlink>
        </w:p>
        <w:p w14:paraId="11954E47" w14:textId="3A1349F5" w:rsidR="006B491D" w:rsidRDefault="00002779">
          <w:pPr>
            <w:pStyle w:val="TOC2"/>
            <w:rPr>
              <w:rFonts w:asciiTheme="minorHAnsi" w:eastAsiaTheme="minorEastAsia" w:hAnsiTheme="minorHAnsi" w:cstheme="minorBidi"/>
              <w:smallCaps w:val="0"/>
              <w:noProof/>
              <w:sz w:val="22"/>
              <w:szCs w:val="22"/>
              <w:lang w:eastAsia="en-AU"/>
            </w:rPr>
          </w:pPr>
          <w:hyperlink w:anchor="_Toc57702495" w:history="1">
            <w:r w:rsidR="006B491D" w:rsidRPr="00FB2612">
              <w:rPr>
                <w:rStyle w:val="Hyperlink"/>
                <w:noProof/>
                <w:w w:val="105"/>
              </w:rPr>
              <w:t>6.2</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w w:val="105"/>
              </w:rPr>
              <w:t>Re-Prescribe or Duplicate Script Functions</w:t>
            </w:r>
            <w:r w:rsidR="006B491D">
              <w:rPr>
                <w:noProof/>
                <w:webHidden/>
              </w:rPr>
              <w:tab/>
            </w:r>
            <w:r w:rsidR="006B491D">
              <w:rPr>
                <w:noProof/>
                <w:webHidden/>
              </w:rPr>
              <w:fldChar w:fldCharType="begin"/>
            </w:r>
            <w:r w:rsidR="006B491D">
              <w:rPr>
                <w:noProof/>
                <w:webHidden/>
              </w:rPr>
              <w:instrText xml:space="preserve"> PAGEREF _Toc57702495 \h </w:instrText>
            </w:r>
            <w:r w:rsidR="006B491D">
              <w:rPr>
                <w:noProof/>
                <w:webHidden/>
              </w:rPr>
            </w:r>
            <w:r w:rsidR="006B491D">
              <w:rPr>
                <w:noProof/>
                <w:webHidden/>
              </w:rPr>
              <w:fldChar w:fldCharType="separate"/>
            </w:r>
            <w:r w:rsidR="005B1F80">
              <w:rPr>
                <w:noProof/>
                <w:webHidden/>
              </w:rPr>
              <w:t>17</w:t>
            </w:r>
            <w:r w:rsidR="006B491D">
              <w:rPr>
                <w:noProof/>
                <w:webHidden/>
              </w:rPr>
              <w:fldChar w:fldCharType="end"/>
            </w:r>
          </w:hyperlink>
        </w:p>
        <w:p w14:paraId="27E8BB95" w14:textId="2298282A" w:rsidR="006B491D" w:rsidRDefault="00002779">
          <w:pPr>
            <w:pStyle w:val="TOC2"/>
            <w:rPr>
              <w:rFonts w:asciiTheme="minorHAnsi" w:eastAsiaTheme="minorEastAsia" w:hAnsiTheme="minorHAnsi" w:cstheme="minorBidi"/>
              <w:smallCaps w:val="0"/>
              <w:noProof/>
              <w:sz w:val="22"/>
              <w:szCs w:val="22"/>
              <w:lang w:eastAsia="en-AU"/>
            </w:rPr>
          </w:pPr>
          <w:hyperlink w:anchor="_Toc57702496" w:history="1">
            <w:r w:rsidR="006B491D" w:rsidRPr="00FB2612">
              <w:rPr>
                <w:rStyle w:val="Hyperlink"/>
                <w:noProof/>
                <w:w w:val="105"/>
              </w:rPr>
              <w:t>6.3</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w w:val="105"/>
              </w:rPr>
              <w:t>Other prescribing situations where the inclusion of active ingredients is recommended but not mandatory</w:t>
            </w:r>
            <w:r w:rsidR="006B491D">
              <w:rPr>
                <w:noProof/>
                <w:webHidden/>
              </w:rPr>
              <w:tab/>
            </w:r>
            <w:r w:rsidR="006B491D">
              <w:rPr>
                <w:noProof/>
                <w:webHidden/>
              </w:rPr>
              <w:fldChar w:fldCharType="begin"/>
            </w:r>
            <w:r w:rsidR="006B491D">
              <w:rPr>
                <w:noProof/>
                <w:webHidden/>
              </w:rPr>
              <w:instrText xml:space="preserve"> PAGEREF _Toc57702496 \h </w:instrText>
            </w:r>
            <w:r w:rsidR="006B491D">
              <w:rPr>
                <w:noProof/>
                <w:webHidden/>
              </w:rPr>
            </w:r>
            <w:r w:rsidR="006B491D">
              <w:rPr>
                <w:noProof/>
                <w:webHidden/>
              </w:rPr>
              <w:fldChar w:fldCharType="separate"/>
            </w:r>
            <w:r w:rsidR="005B1F80">
              <w:rPr>
                <w:noProof/>
                <w:webHidden/>
              </w:rPr>
              <w:t>17</w:t>
            </w:r>
            <w:r w:rsidR="006B491D">
              <w:rPr>
                <w:noProof/>
                <w:webHidden/>
              </w:rPr>
              <w:fldChar w:fldCharType="end"/>
            </w:r>
          </w:hyperlink>
        </w:p>
        <w:p w14:paraId="2671090A" w14:textId="1A63A4BB"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497" w:history="1">
            <w:r w:rsidR="006B491D" w:rsidRPr="00FB2612">
              <w:rPr>
                <w:rStyle w:val="Hyperlink"/>
                <w:noProof/>
              </w:rPr>
              <w:t>7</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Guidelines on Recording Prescriptions</w:t>
            </w:r>
            <w:r w:rsidR="006B491D">
              <w:rPr>
                <w:noProof/>
                <w:webHidden/>
              </w:rPr>
              <w:tab/>
            </w:r>
            <w:r w:rsidR="006B491D">
              <w:rPr>
                <w:noProof/>
                <w:webHidden/>
              </w:rPr>
              <w:fldChar w:fldCharType="begin"/>
            </w:r>
            <w:r w:rsidR="006B491D">
              <w:rPr>
                <w:noProof/>
                <w:webHidden/>
              </w:rPr>
              <w:instrText xml:space="preserve"> PAGEREF _Toc57702497 \h </w:instrText>
            </w:r>
            <w:r w:rsidR="006B491D">
              <w:rPr>
                <w:noProof/>
                <w:webHidden/>
              </w:rPr>
            </w:r>
            <w:r w:rsidR="006B491D">
              <w:rPr>
                <w:noProof/>
                <w:webHidden/>
              </w:rPr>
              <w:fldChar w:fldCharType="separate"/>
            </w:r>
            <w:r w:rsidR="005B1F80">
              <w:rPr>
                <w:noProof/>
                <w:webHidden/>
              </w:rPr>
              <w:t>17</w:t>
            </w:r>
            <w:r w:rsidR="006B491D">
              <w:rPr>
                <w:noProof/>
                <w:webHidden/>
              </w:rPr>
              <w:fldChar w:fldCharType="end"/>
            </w:r>
          </w:hyperlink>
        </w:p>
        <w:p w14:paraId="59748A2A" w14:textId="288548A1" w:rsidR="006B491D" w:rsidRDefault="00002779">
          <w:pPr>
            <w:pStyle w:val="TOC2"/>
            <w:rPr>
              <w:rFonts w:asciiTheme="minorHAnsi" w:eastAsiaTheme="minorEastAsia" w:hAnsiTheme="minorHAnsi" w:cstheme="minorBidi"/>
              <w:smallCaps w:val="0"/>
              <w:noProof/>
              <w:sz w:val="22"/>
              <w:szCs w:val="22"/>
              <w:lang w:eastAsia="en-AU"/>
            </w:rPr>
          </w:pPr>
          <w:hyperlink w:anchor="_Toc57702498" w:history="1">
            <w:r w:rsidR="006B491D" w:rsidRPr="00FB2612">
              <w:rPr>
                <w:rStyle w:val="Hyperlink"/>
                <w:noProof/>
                <w:w w:val="105"/>
              </w:rPr>
              <w:t>7.1</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w w:val="105"/>
              </w:rPr>
              <w:t>Uploaded and Electronic Prescriptions</w:t>
            </w:r>
            <w:r w:rsidR="006B491D">
              <w:rPr>
                <w:noProof/>
                <w:webHidden/>
              </w:rPr>
              <w:tab/>
            </w:r>
            <w:r w:rsidR="006B491D">
              <w:rPr>
                <w:noProof/>
                <w:webHidden/>
              </w:rPr>
              <w:fldChar w:fldCharType="begin"/>
            </w:r>
            <w:r w:rsidR="006B491D">
              <w:rPr>
                <w:noProof/>
                <w:webHidden/>
              </w:rPr>
              <w:instrText xml:space="preserve"> PAGEREF _Toc57702498 \h </w:instrText>
            </w:r>
            <w:r w:rsidR="006B491D">
              <w:rPr>
                <w:noProof/>
                <w:webHidden/>
              </w:rPr>
            </w:r>
            <w:r w:rsidR="006B491D">
              <w:rPr>
                <w:noProof/>
                <w:webHidden/>
              </w:rPr>
              <w:fldChar w:fldCharType="separate"/>
            </w:r>
            <w:r w:rsidR="005B1F80">
              <w:rPr>
                <w:noProof/>
                <w:webHidden/>
              </w:rPr>
              <w:t>18</w:t>
            </w:r>
            <w:r w:rsidR="006B491D">
              <w:rPr>
                <w:noProof/>
                <w:webHidden/>
              </w:rPr>
              <w:fldChar w:fldCharType="end"/>
            </w:r>
          </w:hyperlink>
        </w:p>
        <w:p w14:paraId="66E55CAD" w14:textId="608663CF"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499" w:history="1">
            <w:r w:rsidR="006B491D" w:rsidRPr="00FB2612">
              <w:rPr>
                <w:rStyle w:val="Hyperlink"/>
                <w:noProof/>
              </w:rPr>
              <w:t>8</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References for Ingredient Medicinal Product Names</w:t>
            </w:r>
            <w:r w:rsidR="006B491D">
              <w:rPr>
                <w:noProof/>
                <w:webHidden/>
              </w:rPr>
              <w:tab/>
            </w:r>
            <w:r w:rsidR="006B491D">
              <w:rPr>
                <w:noProof/>
                <w:webHidden/>
              </w:rPr>
              <w:fldChar w:fldCharType="begin"/>
            </w:r>
            <w:r w:rsidR="006B491D">
              <w:rPr>
                <w:noProof/>
                <w:webHidden/>
              </w:rPr>
              <w:instrText xml:space="preserve"> PAGEREF _Toc57702499 \h </w:instrText>
            </w:r>
            <w:r w:rsidR="006B491D">
              <w:rPr>
                <w:noProof/>
                <w:webHidden/>
              </w:rPr>
            </w:r>
            <w:r w:rsidR="006B491D">
              <w:rPr>
                <w:noProof/>
                <w:webHidden/>
              </w:rPr>
              <w:fldChar w:fldCharType="separate"/>
            </w:r>
            <w:r w:rsidR="005B1F80">
              <w:rPr>
                <w:noProof/>
                <w:webHidden/>
              </w:rPr>
              <w:t>18</w:t>
            </w:r>
            <w:r w:rsidR="006B491D">
              <w:rPr>
                <w:noProof/>
                <w:webHidden/>
              </w:rPr>
              <w:fldChar w:fldCharType="end"/>
            </w:r>
          </w:hyperlink>
        </w:p>
        <w:p w14:paraId="08213683" w14:textId="5FFA1285" w:rsidR="006B491D" w:rsidRDefault="00002779">
          <w:pPr>
            <w:pStyle w:val="TOC2"/>
            <w:rPr>
              <w:rFonts w:asciiTheme="minorHAnsi" w:eastAsiaTheme="minorEastAsia" w:hAnsiTheme="minorHAnsi" w:cstheme="minorBidi"/>
              <w:smallCaps w:val="0"/>
              <w:noProof/>
              <w:sz w:val="22"/>
              <w:szCs w:val="22"/>
              <w:lang w:eastAsia="en-AU"/>
            </w:rPr>
          </w:pPr>
          <w:hyperlink w:anchor="_Toc57702500" w:history="1">
            <w:r w:rsidR="006B491D" w:rsidRPr="00FB2612">
              <w:rPr>
                <w:rStyle w:val="Hyperlink"/>
                <w:noProof/>
              </w:rPr>
              <w:t>8.1</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PharmCIS Electronic PBS/RPBS Data</w:t>
            </w:r>
            <w:r w:rsidR="006B491D">
              <w:rPr>
                <w:noProof/>
                <w:webHidden/>
              </w:rPr>
              <w:tab/>
            </w:r>
            <w:r w:rsidR="006B491D">
              <w:rPr>
                <w:noProof/>
                <w:webHidden/>
              </w:rPr>
              <w:fldChar w:fldCharType="begin"/>
            </w:r>
            <w:r w:rsidR="006B491D">
              <w:rPr>
                <w:noProof/>
                <w:webHidden/>
              </w:rPr>
              <w:instrText xml:space="preserve"> PAGEREF _Toc57702500 \h </w:instrText>
            </w:r>
            <w:r w:rsidR="006B491D">
              <w:rPr>
                <w:noProof/>
                <w:webHidden/>
              </w:rPr>
            </w:r>
            <w:r w:rsidR="006B491D">
              <w:rPr>
                <w:noProof/>
                <w:webHidden/>
              </w:rPr>
              <w:fldChar w:fldCharType="separate"/>
            </w:r>
            <w:r w:rsidR="005B1F80">
              <w:rPr>
                <w:noProof/>
                <w:webHidden/>
              </w:rPr>
              <w:t>18</w:t>
            </w:r>
            <w:r w:rsidR="006B491D">
              <w:rPr>
                <w:noProof/>
                <w:webHidden/>
              </w:rPr>
              <w:fldChar w:fldCharType="end"/>
            </w:r>
          </w:hyperlink>
        </w:p>
        <w:p w14:paraId="7D34F503" w14:textId="3F2D7919" w:rsidR="006B491D" w:rsidRDefault="00002779">
          <w:pPr>
            <w:pStyle w:val="TOC2"/>
            <w:rPr>
              <w:rFonts w:asciiTheme="minorHAnsi" w:eastAsiaTheme="minorEastAsia" w:hAnsiTheme="minorHAnsi" w:cstheme="minorBidi"/>
              <w:smallCaps w:val="0"/>
              <w:noProof/>
              <w:sz w:val="22"/>
              <w:szCs w:val="22"/>
              <w:lang w:eastAsia="en-AU"/>
            </w:rPr>
          </w:pPr>
          <w:hyperlink w:anchor="_Toc57702501" w:history="1">
            <w:r w:rsidR="006B491D" w:rsidRPr="00FB2612">
              <w:rPr>
                <w:rStyle w:val="Hyperlink"/>
                <w:noProof/>
              </w:rPr>
              <w:t>8.2</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The National Clinical Terminology Service (NCTS)</w:t>
            </w:r>
            <w:r w:rsidR="006B491D">
              <w:rPr>
                <w:noProof/>
                <w:webHidden/>
              </w:rPr>
              <w:tab/>
            </w:r>
            <w:r w:rsidR="006B491D">
              <w:rPr>
                <w:noProof/>
                <w:webHidden/>
              </w:rPr>
              <w:fldChar w:fldCharType="begin"/>
            </w:r>
            <w:r w:rsidR="006B491D">
              <w:rPr>
                <w:noProof/>
                <w:webHidden/>
              </w:rPr>
              <w:instrText xml:space="preserve"> PAGEREF _Toc57702501 \h </w:instrText>
            </w:r>
            <w:r w:rsidR="006B491D">
              <w:rPr>
                <w:noProof/>
                <w:webHidden/>
              </w:rPr>
            </w:r>
            <w:r w:rsidR="006B491D">
              <w:rPr>
                <w:noProof/>
                <w:webHidden/>
              </w:rPr>
              <w:fldChar w:fldCharType="separate"/>
            </w:r>
            <w:r w:rsidR="005B1F80">
              <w:rPr>
                <w:noProof/>
                <w:webHidden/>
              </w:rPr>
              <w:t>19</w:t>
            </w:r>
            <w:r w:rsidR="006B491D">
              <w:rPr>
                <w:noProof/>
                <w:webHidden/>
              </w:rPr>
              <w:fldChar w:fldCharType="end"/>
            </w:r>
          </w:hyperlink>
        </w:p>
        <w:p w14:paraId="73A8617B" w14:textId="57DF4A4A" w:rsidR="006B491D" w:rsidRDefault="00002779">
          <w:pPr>
            <w:pStyle w:val="TOC2"/>
            <w:rPr>
              <w:rFonts w:asciiTheme="minorHAnsi" w:eastAsiaTheme="minorEastAsia" w:hAnsiTheme="minorHAnsi" w:cstheme="minorBidi"/>
              <w:smallCaps w:val="0"/>
              <w:noProof/>
              <w:sz w:val="22"/>
              <w:szCs w:val="22"/>
              <w:lang w:eastAsia="en-AU"/>
            </w:rPr>
          </w:pPr>
          <w:hyperlink w:anchor="_Toc57702502" w:history="1">
            <w:r w:rsidR="006B491D" w:rsidRPr="00FB2612">
              <w:rPr>
                <w:rStyle w:val="Hyperlink"/>
                <w:noProof/>
              </w:rPr>
              <w:t>8.3</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Other Sources</w:t>
            </w:r>
            <w:r w:rsidR="006B491D">
              <w:rPr>
                <w:noProof/>
                <w:webHidden/>
              </w:rPr>
              <w:tab/>
            </w:r>
            <w:r w:rsidR="006B491D">
              <w:rPr>
                <w:noProof/>
                <w:webHidden/>
              </w:rPr>
              <w:fldChar w:fldCharType="begin"/>
            </w:r>
            <w:r w:rsidR="006B491D">
              <w:rPr>
                <w:noProof/>
                <w:webHidden/>
              </w:rPr>
              <w:instrText xml:space="preserve"> PAGEREF _Toc57702502 \h </w:instrText>
            </w:r>
            <w:r w:rsidR="006B491D">
              <w:rPr>
                <w:noProof/>
                <w:webHidden/>
              </w:rPr>
            </w:r>
            <w:r w:rsidR="006B491D">
              <w:rPr>
                <w:noProof/>
                <w:webHidden/>
              </w:rPr>
              <w:fldChar w:fldCharType="separate"/>
            </w:r>
            <w:r w:rsidR="005B1F80">
              <w:rPr>
                <w:noProof/>
                <w:webHidden/>
              </w:rPr>
              <w:t>19</w:t>
            </w:r>
            <w:r w:rsidR="006B491D">
              <w:rPr>
                <w:noProof/>
                <w:webHidden/>
              </w:rPr>
              <w:fldChar w:fldCharType="end"/>
            </w:r>
          </w:hyperlink>
        </w:p>
        <w:p w14:paraId="1DB0B362" w14:textId="0F314C17"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503" w:history="1">
            <w:r w:rsidR="006B491D" w:rsidRPr="00FB2612">
              <w:rPr>
                <w:rStyle w:val="Hyperlink"/>
                <w:noProof/>
              </w:rPr>
              <w:t>9</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Recommendations for NON PBS Medicines</w:t>
            </w:r>
            <w:r w:rsidR="006B491D">
              <w:rPr>
                <w:noProof/>
                <w:webHidden/>
              </w:rPr>
              <w:tab/>
            </w:r>
            <w:r w:rsidR="006B491D">
              <w:rPr>
                <w:noProof/>
                <w:webHidden/>
              </w:rPr>
              <w:fldChar w:fldCharType="begin"/>
            </w:r>
            <w:r w:rsidR="006B491D">
              <w:rPr>
                <w:noProof/>
                <w:webHidden/>
              </w:rPr>
              <w:instrText xml:space="preserve"> PAGEREF _Toc57702503 \h </w:instrText>
            </w:r>
            <w:r w:rsidR="006B491D">
              <w:rPr>
                <w:noProof/>
                <w:webHidden/>
              </w:rPr>
            </w:r>
            <w:r w:rsidR="006B491D">
              <w:rPr>
                <w:noProof/>
                <w:webHidden/>
              </w:rPr>
              <w:fldChar w:fldCharType="separate"/>
            </w:r>
            <w:r w:rsidR="005B1F80">
              <w:rPr>
                <w:noProof/>
                <w:webHidden/>
              </w:rPr>
              <w:t>19</w:t>
            </w:r>
            <w:r w:rsidR="006B491D">
              <w:rPr>
                <w:noProof/>
                <w:webHidden/>
              </w:rPr>
              <w:fldChar w:fldCharType="end"/>
            </w:r>
          </w:hyperlink>
        </w:p>
        <w:p w14:paraId="1EDE6848" w14:textId="5A872F00" w:rsidR="006B491D" w:rsidRDefault="00002779">
          <w:pPr>
            <w:pStyle w:val="TOC1"/>
            <w:tabs>
              <w:tab w:val="left" w:pos="660"/>
              <w:tab w:val="right" w:leader="dot" w:pos="9017"/>
            </w:tabs>
            <w:rPr>
              <w:rFonts w:asciiTheme="minorHAnsi" w:eastAsiaTheme="minorEastAsia" w:hAnsiTheme="minorHAnsi" w:cstheme="minorBidi"/>
              <w:b w:val="0"/>
              <w:bCs w:val="0"/>
              <w:caps w:val="0"/>
              <w:noProof/>
              <w:sz w:val="22"/>
              <w:szCs w:val="22"/>
              <w:lang w:eastAsia="en-AU"/>
            </w:rPr>
          </w:pPr>
          <w:hyperlink w:anchor="_Toc57702504" w:history="1">
            <w:r w:rsidR="006B491D" w:rsidRPr="00FB2612">
              <w:rPr>
                <w:rStyle w:val="Hyperlink"/>
                <w:noProof/>
              </w:rPr>
              <w:t>10</w:t>
            </w:r>
            <w:r w:rsidR="006B491D">
              <w:rPr>
                <w:rFonts w:asciiTheme="minorHAnsi" w:eastAsiaTheme="minorEastAsia" w:hAnsiTheme="minorHAnsi" w:cstheme="minorBidi"/>
                <w:b w:val="0"/>
                <w:bCs w:val="0"/>
                <w:caps w:val="0"/>
                <w:noProof/>
                <w:sz w:val="22"/>
                <w:szCs w:val="22"/>
                <w:lang w:eastAsia="en-AU"/>
              </w:rPr>
              <w:tab/>
            </w:r>
            <w:r w:rsidR="006B491D" w:rsidRPr="00FB2612">
              <w:rPr>
                <w:rStyle w:val="Hyperlink"/>
                <w:noProof/>
              </w:rPr>
              <w:t>Appendix</w:t>
            </w:r>
            <w:r w:rsidR="006B491D">
              <w:rPr>
                <w:noProof/>
                <w:webHidden/>
              </w:rPr>
              <w:tab/>
            </w:r>
            <w:r w:rsidR="006B491D">
              <w:rPr>
                <w:noProof/>
                <w:webHidden/>
              </w:rPr>
              <w:fldChar w:fldCharType="begin"/>
            </w:r>
            <w:r w:rsidR="006B491D">
              <w:rPr>
                <w:noProof/>
                <w:webHidden/>
              </w:rPr>
              <w:instrText xml:space="preserve"> PAGEREF _Toc57702504 \h </w:instrText>
            </w:r>
            <w:r w:rsidR="006B491D">
              <w:rPr>
                <w:noProof/>
                <w:webHidden/>
              </w:rPr>
            </w:r>
            <w:r w:rsidR="006B491D">
              <w:rPr>
                <w:noProof/>
                <w:webHidden/>
              </w:rPr>
              <w:fldChar w:fldCharType="separate"/>
            </w:r>
            <w:r w:rsidR="005B1F80">
              <w:rPr>
                <w:noProof/>
                <w:webHidden/>
              </w:rPr>
              <w:t>19</w:t>
            </w:r>
            <w:r w:rsidR="006B491D">
              <w:rPr>
                <w:noProof/>
                <w:webHidden/>
              </w:rPr>
              <w:fldChar w:fldCharType="end"/>
            </w:r>
          </w:hyperlink>
        </w:p>
        <w:p w14:paraId="5553560A" w14:textId="4C23ABE9" w:rsidR="006B491D" w:rsidRDefault="00002779">
          <w:pPr>
            <w:pStyle w:val="TOC2"/>
            <w:rPr>
              <w:rFonts w:asciiTheme="minorHAnsi" w:eastAsiaTheme="minorEastAsia" w:hAnsiTheme="minorHAnsi" w:cstheme="minorBidi"/>
              <w:smallCaps w:val="0"/>
              <w:noProof/>
              <w:sz w:val="22"/>
              <w:szCs w:val="22"/>
              <w:lang w:eastAsia="en-AU"/>
            </w:rPr>
          </w:pPr>
          <w:hyperlink w:anchor="_Toc57702505" w:history="1">
            <w:r w:rsidR="006B491D" w:rsidRPr="00FB2612">
              <w:rPr>
                <w:rStyle w:val="Hyperlink"/>
                <w:noProof/>
              </w:rPr>
              <w:t>10.1</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 xml:space="preserve">Brand substitution legislation in the </w:t>
            </w:r>
            <w:r w:rsidR="006B491D" w:rsidRPr="00FB2612">
              <w:rPr>
                <w:rStyle w:val="Hyperlink"/>
                <w:i/>
                <w:noProof/>
              </w:rPr>
              <w:t>National Health (Pharmaceutical Benefits) Regulations 2017</w:t>
            </w:r>
            <w:r w:rsidR="006B491D" w:rsidRPr="00FB2612">
              <w:rPr>
                <w:rStyle w:val="Hyperlink"/>
                <w:noProof/>
              </w:rPr>
              <w:t>:</w:t>
            </w:r>
            <w:r w:rsidR="006B491D">
              <w:rPr>
                <w:noProof/>
                <w:webHidden/>
              </w:rPr>
              <w:tab/>
            </w:r>
            <w:r w:rsidR="006B491D">
              <w:rPr>
                <w:noProof/>
                <w:webHidden/>
              </w:rPr>
              <w:fldChar w:fldCharType="begin"/>
            </w:r>
            <w:r w:rsidR="006B491D">
              <w:rPr>
                <w:noProof/>
                <w:webHidden/>
              </w:rPr>
              <w:instrText xml:space="preserve"> PAGEREF _Toc57702505 \h </w:instrText>
            </w:r>
            <w:r w:rsidR="006B491D">
              <w:rPr>
                <w:noProof/>
                <w:webHidden/>
              </w:rPr>
            </w:r>
            <w:r w:rsidR="006B491D">
              <w:rPr>
                <w:noProof/>
                <w:webHidden/>
              </w:rPr>
              <w:fldChar w:fldCharType="separate"/>
            </w:r>
            <w:r w:rsidR="005B1F80">
              <w:rPr>
                <w:noProof/>
                <w:webHidden/>
              </w:rPr>
              <w:t>19</w:t>
            </w:r>
            <w:r w:rsidR="006B491D">
              <w:rPr>
                <w:noProof/>
                <w:webHidden/>
              </w:rPr>
              <w:fldChar w:fldCharType="end"/>
            </w:r>
          </w:hyperlink>
        </w:p>
        <w:p w14:paraId="7918AD33" w14:textId="47B77C5A" w:rsidR="006B491D" w:rsidRDefault="00002779">
          <w:pPr>
            <w:pStyle w:val="TOC2"/>
            <w:rPr>
              <w:rFonts w:asciiTheme="minorHAnsi" w:eastAsiaTheme="minorEastAsia" w:hAnsiTheme="minorHAnsi" w:cstheme="minorBidi"/>
              <w:smallCaps w:val="0"/>
              <w:noProof/>
              <w:sz w:val="22"/>
              <w:szCs w:val="22"/>
              <w:lang w:eastAsia="en-AU"/>
            </w:rPr>
          </w:pPr>
          <w:hyperlink w:anchor="_Toc57702506" w:history="1">
            <w:r w:rsidR="006B491D" w:rsidRPr="00FB2612">
              <w:rPr>
                <w:rStyle w:val="Hyperlink"/>
                <w:noProof/>
              </w:rPr>
              <w:t>10.2</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Extract from regulations pertaining to this measure (Pharmaceutical Benefits) Regulations 2017:</w:t>
            </w:r>
            <w:r w:rsidR="006B491D">
              <w:rPr>
                <w:noProof/>
                <w:webHidden/>
              </w:rPr>
              <w:tab/>
            </w:r>
            <w:r w:rsidR="006B491D">
              <w:rPr>
                <w:noProof/>
                <w:webHidden/>
              </w:rPr>
              <w:fldChar w:fldCharType="begin"/>
            </w:r>
            <w:r w:rsidR="006B491D">
              <w:rPr>
                <w:noProof/>
                <w:webHidden/>
              </w:rPr>
              <w:instrText xml:space="preserve"> PAGEREF _Toc57702506 \h </w:instrText>
            </w:r>
            <w:r w:rsidR="006B491D">
              <w:rPr>
                <w:noProof/>
                <w:webHidden/>
              </w:rPr>
            </w:r>
            <w:r w:rsidR="006B491D">
              <w:rPr>
                <w:noProof/>
                <w:webHidden/>
              </w:rPr>
              <w:fldChar w:fldCharType="separate"/>
            </w:r>
            <w:r w:rsidR="005B1F80">
              <w:rPr>
                <w:noProof/>
                <w:webHidden/>
              </w:rPr>
              <w:t>19</w:t>
            </w:r>
            <w:r w:rsidR="006B491D">
              <w:rPr>
                <w:noProof/>
                <w:webHidden/>
              </w:rPr>
              <w:fldChar w:fldCharType="end"/>
            </w:r>
          </w:hyperlink>
        </w:p>
        <w:p w14:paraId="42B96920" w14:textId="27A56156" w:rsidR="006B491D" w:rsidRDefault="00002779">
          <w:pPr>
            <w:pStyle w:val="TOC2"/>
            <w:rPr>
              <w:rFonts w:asciiTheme="minorHAnsi" w:eastAsiaTheme="minorEastAsia" w:hAnsiTheme="minorHAnsi" w:cstheme="minorBidi"/>
              <w:smallCaps w:val="0"/>
              <w:noProof/>
              <w:sz w:val="22"/>
              <w:szCs w:val="22"/>
              <w:lang w:eastAsia="en-AU"/>
            </w:rPr>
          </w:pPr>
          <w:hyperlink w:anchor="_Toc57702507" w:history="1">
            <w:r w:rsidR="006B491D" w:rsidRPr="00FB2612">
              <w:rPr>
                <w:rStyle w:val="Hyperlink"/>
                <w:noProof/>
              </w:rPr>
              <w:t>10.3</w:t>
            </w:r>
            <w:r w:rsidR="006B491D">
              <w:rPr>
                <w:rFonts w:asciiTheme="minorHAnsi" w:eastAsiaTheme="minorEastAsia" w:hAnsiTheme="minorHAnsi" w:cstheme="minorBidi"/>
                <w:smallCaps w:val="0"/>
                <w:noProof/>
                <w:sz w:val="22"/>
                <w:szCs w:val="22"/>
                <w:lang w:eastAsia="en-AU"/>
              </w:rPr>
              <w:tab/>
            </w:r>
            <w:r w:rsidR="006B491D" w:rsidRPr="00FB2612">
              <w:rPr>
                <w:rStyle w:val="Hyperlink"/>
                <w:noProof/>
              </w:rPr>
              <w:t>Format of the RLDBI Reference Set</w:t>
            </w:r>
            <w:r w:rsidR="006B491D">
              <w:rPr>
                <w:noProof/>
                <w:webHidden/>
              </w:rPr>
              <w:tab/>
            </w:r>
            <w:r w:rsidR="006B491D">
              <w:rPr>
                <w:noProof/>
                <w:webHidden/>
              </w:rPr>
              <w:fldChar w:fldCharType="begin"/>
            </w:r>
            <w:r w:rsidR="006B491D">
              <w:rPr>
                <w:noProof/>
                <w:webHidden/>
              </w:rPr>
              <w:instrText xml:space="preserve"> PAGEREF _Toc57702507 \h </w:instrText>
            </w:r>
            <w:r w:rsidR="006B491D">
              <w:rPr>
                <w:noProof/>
                <w:webHidden/>
              </w:rPr>
            </w:r>
            <w:r w:rsidR="006B491D">
              <w:rPr>
                <w:noProof/>
                <w:webHidden/>
              </w:rPr>
              <w:fldChar w:fldCharType="separate"/>
            </w:r>
            <w:r w:rsidR="005B1F80">
              <w:rPr>
                <w:noProof/>
                <w:webHidden/>
              </w:rPr>
              <w:t>21</w:t>
            </w:r>
            <w:r w:rsidR="006B491D">
              <w:rPr>
                <w:noProof/>
                <w:webHidden/>
              </w:rPr>
              <w:fldChar w:fldCharType="end"/>
            </w:r>
          </w:hyperlink>
        </w:p>
        <w:p w14:paraId="6AC30D5E" w14:textId="5E02C42B" w:rsidR="001451CA" w:rsidRDefault="001451CA" w:rsidP="002C41C7">
          <w:r>
            <w:rPr>
              <w:rFonts w:ascii="Calibri" w:hAnsi="Calibri"/>
              <w:i/>
              <w:iCs/>
              <w:sz w:val="20"/>
            </w:rPr>
            <w:fldChar w:fldCharType="end"/>
          </w:r>
        </w:p>
      </w:sdtContent>
    </w:sdt>
    <w:p w14:paraId="57E4B4AD" w14:textId="77777777" w:rsidR="001D02F0" w:rsidRDefault="001D02F0" w:rsidP="002C41C7">
      <w:pPr>
        <w:pStyle w:val="TOC1"/>
        <w:sectPr w:rsidR="001D02F0" w:rsidSect="00C24DE6">
          <w:headerReference w:type="even" r:id="rId17"/>
          <w:headerReference w:type="default" r:id="rId18"/>
          <w:headerReference w:type="first" r:id="rId19"/>
          <w:footerReference w:type="first" r:id="rId20"/>
          <w:pgSz w:w="11907" w:h="16839" w:code="9"/>
          <w:pgMar w:top="1440" w:right="1440" w:bottom="1440" w:left="1440" w:header="720" w:footer="1021" w:gutter="0"/>
          <w:cols w:space="720"/>
          <w:docGrid w:linePitch="299"/>
        </w:sectPr>
      </w:pPr>
    </w:p>
    <w:p w14:paraId="7BF42F67" w14:textId="77777777" w:rsidR="007B7501" w:rsidRPr="002266EB" w:rsidRDefault="007B7501" w:rsidP="002C41C7">
      <w:pPr>
        <w:pStyle w:val="Heading1"/>
      </w:pPr>
      <w:bookmarkStart w:id="4" w:name="_Toc364606013"/>
      <w:bookmarkStart w:id="5" w:name="_Toc364611507"/>
      <w:bookmarkStart w:id="6" w:name="_Toc398796261"/>
      <w:bookmarkStart w:id="7" w:name="_Toc57702459"/>
      <w:r w:rsidRPr="002266EB">
        <w:lastRenderedPageBreak/>
        <w:t xml:space="preserve">Glossary </w:t>
      </w:r>
      <w:r w:rsidR="00BD60D5">
        <w:t>and</w:t>
      </w:r>
      <w:r w:rsidRPr="002266EB">
        <w:t xml:space="preserve"> Abbreviations</w:t>
      </w:r>
      <w:bookmarkEnd w:id="4"/>
      <w:bookmarkEnd w:id="5"/>
      <w:bookmarkEnd w:id="6"/>
      <w:bookmarkEnd w:id="7"/>
    </w:p>
    <w:p w14:paraId="61CB8B76" w14:textId="77777777" w:rsidR="007B7501" w:rsidRPr="007B7501" w:rsidRDefault="007B7501" w:rsidP="009070C8">
      <w:pPr>
        <w:spacing w:before="0"/>
      </w:pPr>
    </w:p>
    <w:tbl>
      <w:tblPr>
        <w:tblStyle w:val="ListTable4-Accent11"/>
        <w:tblW w:w="9070" w:type="dxa"/>
        <w:tblLook w:val="0400" w:firstRow="0" w:lastRow="0" w:firstColumn="0" w:lastColumn="0" w:noHBand="0" w:noVBand="1"/>
        <w:tblCaption w:val="Glossary and Abbreviations"/>
        <w:tblDescription w:val="1. Active Ingredient Name Refers to the active ingredient name for a drug, for example Allopurinol. &#10;It does not refer to the brand name such as Zyloprim (the originator product), Allosig, Progout, Apotex, APO-Allopurinol etc.&#10;2. ACSQHC Australian Commission on Safety and Quality in Health Care.&#10;3. ADHA Australian Digital Health Agency.&#10;4. AHPRA Australian Health Practitioner Regulation Agency.&#10;5. AIP Active Ingredient Prescribing.&#10;6. AMA Australian Medical Association.&#10;7. AMT Australian Medicines Terminology.&#10;8. AMT Reference Set Reference sets serve as a mechanism for creating subsets of content from AMT. Each of these reference sets is used to represent a set of AMT components for a specific purpose within a defined scope.&#10;For example, a reference set could contain the AMT concept IDs applying to medicinal items for  identifying drugs for the prescriber to consider if the brand name on the prescription is necessary for the clinical treatment of their patient.&#10;9. APF Australian Pharmaceutical Formulary&#10;10. ARTG Australian Register of Therapeutic Goods. The Australian Register of Therapeutic Goods is a computer database of therapeutic goods maintained by the Therapeutic Goods Administration (TGA). &#10; &#10;11. Biosimilar A biosimilar is a biologic medical product that is almost an identical copy of an original product that is manufactured by a different company. Biosimilars are officially approved versions of original &quot;innovator&quot; products and can be manufactured when the original product's patent expires.&#10;12. Brand Name The trade name given to the drug by the company which manufacturers it, protected by patent.&#10;13. Computer Generated Prescription A prescription generated by prescribing software, whether printed and hand signed or an electronic prescription (once electronic prescribing is enabled in October 2019). &#10;This includes computer generated and electronic medication charts in hospitals and the residential aged care setting. &#10;14. Department of Health Australian Government Department of Health. &#10;15. Drug Within the context of this document &quot;drug&quot; is used to refer to prescribable items listed under the Schedule of Pharmaceutical Benefits being the terminology consistent with references under the PBS/RPBS regulations. &#10;16. DVA Department of Veteran's Affairs&#10;17. ETP Electronic Transfer of Prescriptions&#10;This facility allows a copy of the prescription to be uploaded by the prescribing software to a Prescription Exchange Service available for downloading by the pharmacy of choice of the patient.&#10;18. Eligible Approved Supplier A Pharmacist or Medical Practitioner approved under the National Health Act 1953 to supply pharmaceutical benefits.&#10;19. Free text facility Free text facility allows a prescriber to simply type the drug details for a prescription as if from a typewriter, without reference to a drug lookup.&#10;20. Electronic prescription An electronic prescription is a legal PBS prescription in an electronic format that is electronically created and made available for dispensing (rather than in a paper format).&#10;21. GBMA The Generic and Biosimilar Medicines Association.&#10;22. Generic Brand/Generic Medicine A generic brand is a drug product that is comparable to the originator drug as registered with the registration authority (in this case the TGA) which has its dosage form, strength, route of administration, quality and performance characteristics, and intended use therapeutically identical to the originator drug.&#10;23. INN International Non-Proprietary Name. &#10;24. LEMI List of Excluded Medicinal Items.&#10;25. LMBC List of Medicines for Brand Consideration.&#10;(Previously known as  Recommended List of Drugs for Brand Inclusion)&#10;26. MA Medicines Australia.&#10;27. Medicinal items Drugs within the scope of this initiative excluding bandages, dressings, diagnostic tools, food supplements and vitamin supplements.&#10;28. MPP Medicinal Product Pack refers to a medicine’s active ingredient, dose, form, strength and pack size.&#10;29. MSIA Medical Software Industry Association Inc.&#10;30. NCTS The National Clinical Terminology Service.&#10;31. NPS MedicineWise National Prescribing Service MedicineWise.&#10;32. Originator Pharmaceutical Product The product that was first authorized worldwide for marketing (normally as a patented product) on the basis of the documentation of its efficacy, safety, and quality according to requirements at the time of authorization.&#10;Known also as &quot;F1 Medicine&quot;.&#10;33. PBS The Pharmaceutical Benefits Scheme .&#10;34. PDS Pharmacy Dispensing Software.&#10;35. PES Prescription Exchange Service.&#10;36. PGA Pharmacy Guild of Australia.&#10;37. Pharmacist A person who is registered as a pharmacist under the AHPRA, which in association with the Pharmacy Board of Australia has deemed that person to be a pharmacist.&#10;38. PBAC Pharmaceutical Benefits Advisory Committee.&#10;39. PBS Prescriber Doctors, dentists, optometrists, midwives and nurse practitioners who are approved to prescribe PBS/RPBS medicines under the National Health Act 1953.&#10;40. PSA Pharmaceutical Society of Australia.&#10;41. RACGP Royal Australian College of General Practitioners.&#10;42. RPBS Repatriation Pharmaceutical Benefits Scheme.&#10;43. SHPA Society of Hospital Pharmacists of Australia.&#10;44. TGA Therapeutic Goods Administration.&#10;45. VRD Vendor Resource Document.&#10;"/>
      </w:tblPr>
      <w:tblGrid>
        <w:gridCol w:w="2494"/>
        <w:gridCol w:w="6576"/>
      </w:tblGrid>
      <w:tr w:rsidR="00942651" w:rsidRPr="002266EB" w14:paraId="4DB36286" w14:textId="77777777" w:rsidTr="00942376">
        <w:trPr>
          <w:cantSplit/>
          <w:tblHeader/>
        </w:trPr>
        <w:tc>
          <w:tcPr>
            <w:tcW w:w="2494" w:type="dxa"/>
            <w:shd w:val="clear" w:color="auto" w:fill="17365D" w:themeFill="text2" w:themeFillShade="BF"/>
          </w:tcPr>
          <w:p w14:paraId="58B2103F" w14:textId="77777777" w:rsidR="007B7501" w:rsidRPr="009070C8" w:rsidRDefault="007B7501" w:rsidP="009070C8">
            <w:pPr>
              <w:pStyle w:val="BodyText"/>
              <w:spacing w:before="60" w:after="60"/>
              <w:ind w:left="57" w:right="57" w:firstLine="0"/>
              <w:rPr>
                <w:b/>
                <w:bCs/>
                <w:sz w:val="20"/>
              </w:rPr>
            </w:pPr>
            <w:r w:rsidRPr="009070C8">
              <w:rPr>
                <w:b/>
                <w:bCs/>
                <w:sz w:val="20"/>
              </w:rPr>
              <w:t>Acronym/Term</w:t>
            </w:r>
          </w:p>
        </w:tc>
        <w:tc>
          <w:tcPr>
            <w:tcW w:w="6576" w:type="dxa"/>
            <w:shd w:val="clear" w:color="auto" w:fill="17365D" w:themeFill="text2" w:themeFillShade="BF"/>
          </w:tcPr>
          <w:p w14:paraId="42262DAF" w14:textId="77777777" w:rsidR="007B7501" w:rsidRPr="009070C8" w:rsidRDefault="007B7501" w:rsidP="009070C8">
            <w:pPr>
              <w:pStyle w:val="BodyText"/>
              <w:spacing w:before="60" w:after="60"/>
              <w:ind w:left="57" w:right="57" w:firstLine="0"/>
              <w:rPr>
                <w:b/>
                <w:bCs/>
                <w:sz w:val="20"/>
              </w:rPr>
            </w:pPr>
            <w:r w:rsidRPr="009070C8">
              <w:rPr>
                <w:b/>
                <w:bCs/>
                <w:sz w:val="20"/>
              </w:rPr>
              <w:t>Description</w:t>
            </w:r>
          </w:p>
        </w:tc>
      </w:tr>
      <w:tr w:rsidR="00942651" w:rsidRPr="002266EB" w14:paraId="07C24A67"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75D7813F" w14:textId="77777777" w:rsidR="007B7501" w:rsidRPr="009070C8" w:rsidRDefault="007B7501" w:rsidP="009070C8">
            <w:pPr>
              <w:pStyle w:val="BodyText"/>
              <w:spacing w:before="60" w:after="60"/>
              <w:ind w:left="57" w:right="57" w:firstLine="0"/>
              <w:rPr>
                <w:sz w:val="20"/>
              </w:rPr>
            </w:pPr>
            <w:r w:rsidRPr="009070C8">
              <w:rPr>
                <w:sz w:val="20"/>
              </w:rPr>
              <w:t>Active Ingredient Name</w:t>
            </w:r>
          </w:p>
        </w:tc>
        <w:tc>
          <w:tcPr>
            <w:tcW w:w="6576" w:type="dxa"/>
          </w:tcPr>
          <w:p w14:paraId="67865488" w14:textId="77777777" w:rsidR="007B7501" w:rsidRPr="009070C8" w:rsidRDefault="00612146" w:rsidP="009070C8">
            <w:pPr>
              <w:pStyle w:val="BodyText"/>
              <w:spacing w:before="60" w:after="60"/>
              <w:ind w:left="57" w:right="57" w:firstLine="0"/>
              <w:rPr>
                <w:sz w:val="20"/>
              </w:rPr>
            </w:pPr>
            <w:r w:rsidRPr="009070C8">
              <w:rPr>
                <w:sz w:val="20"/>
              </w:rPr>
              <w:t>R</w:t>
            </w:r>
            <w:r w:rsidR="007B7501" w:rsidRPr="009070C8">
              <w:rPr>
                <w:sz w:val="20"/>
              </w:rPr>
              <w:t xml:space="preserve">efers to the active ingredient name for a drug, for example </w:t>
            </w:r>
            <w:r w:rsidR="00AC5788" w:rsidRPr="009070C8">
              <w:rPr>
                <w:i/>
                <w:iCs/>
                <w:sz w:val="20"/>
              </w:rPr>
              <w:t>Allopurinol</w:t>
            </w:r>
            <w:r w:rsidR="007B7501" w:rsidRPr="009070C8">
              <w:rPr>
                <w:sz w:val="20"/>
              </w:rPr>
              <w:t xml:space="preserve">. </w:t>
            </w:r>
          </w:p>
          <w:p w14:paraId="2765CEFB" w14:textId="77777777" w:rsidR="007B7501" w:rsidRPr="009070C8" w:rsidRDefault="007B7501" w:rsidP="009070C8">
            <w:pPr>
              <w:pStyle w:val="BodyText"/>
              <w:spacing w:before="60" w:after="60"/>
              <w:ind w:left="57" w:right="57" w:firstLine="0"/>
              <w:rPr>
                <w:sz w:val="20"/>
              </w:rPr>
            </w:pPr>
            <w:r w:rsidRPr="009070C8">
              <w:rPr>
                <w:sz w:val="20"/>
              </w:rPr>
              <w:t xml:space="preserve">It does not refer to </w:t>
            </w:r>
            <w:r w:rsidR="00AC5788" w:rsidRPr="009070C8">
              <w:rPr>
                <w:sz w:val="20"/>
              </w:rPr>
              <w:t>the</w:t>
            </w:r>
            <w:r w:rsidRPr="009070C8">
              <w:rPr>
                <w:sz w:val="20"/>
              </w:rPr>
              <w:t xml:space="preserve"> brand </w:t>
            </w:r>
            <w:r w:rsidR="00833A5D" w:rsidRPr="009070C8">
              <w:rPr>
                <w:sz w:val="20"/>
              </w:rPr>
              <w:t xml:space="preserve">name </w:t>
            </w:r>
            <w:r w:rsidR="00114D09" w:rsidRPr="009070C8">
              <w:rPr>
                <w:sz w:val="20"/>
              </w:rPr>
              <w:t>such as Zyloprim (the originator product), Allosig, Progout, Apotex, APO-Allopurinol</w:t>
            </w:r>
            <w:r w:rsidR="00E0162B" w:rsidRPr="009070C8">
              <w:rPr>
                <w:sz w:val="20"/>
              </w:rPr>
              <w:t xml:space="preserve"> etc</w:t>
            </w:r>
            <w:r w:rsidR="00114D09" w:rsidRPr="009070C8">
              <w:rPr>
                <w:sz w:val="20"/>
              </w:rPr>
              <w:t>.</w:t>
            </w:r>
          </w:p>
        </w:tc>
      </w:tr>
      <w:tr w:rsidR="00942651" w:rsidRPr="002266EB" w14:paraId="19A875A0" w14:textId="77777777" w:rsidTr="00942376">
        <w:trPr>
          <w:cantSplit/>
        </w:trPr>
        <w:tc>
          <w:tcPr>
            <w:tcW w:w="2494" w:type="dxa"/>
          </w:tcPr>
          <w:p w14:paraId="43AD1561" w14:textId="77777777" w:rsidR="000645BB" w:rsidRPr="009070C8" w:rsidRDefault="000645BB" w:rsidP="009070C8">
            <w:pPr>
              <w:pStyle w:val="BodyText"/>
              <w:spacing w:before="60" w:after="60"/>
              <w:ind w:left="57" w:right="57" w:firstLine="0"/>
              <w:rPr>
                <w:sz w:val="20"/>
              </w:rPr>
            </w:pPr>
            <w:r w:rsidRPr="009070C8">
              <w:rPr>
                <w:sz w:val="20"/>
              </w:rPr>
              <w:t>ACSQH</w:t>
            </w:r>
            <w:r w:rsidR="00942376" w:rsidRPr="009070C8">
              <w:rPr>
                <w:sz w:val="20"/>
              </w:rPr>
              <w:t>C</w:t>
            </w:r>
          </w:p>
        </w:tc>
        <w:tc>
          <w:tcPr>
            <w:tcW w:w="6576" w:type="dxa"/>
          </w:tcPr>
          <w:p w14:paraId="6219FA69" w14:textId="77777777" w:rsidR="000645BB" w:rsidRPr="009070C8" w:rsidRDefault="000645BB" w:rsidP="009070C8">
            <w:pPr>
              <w:pStyle w:val="BodyText"/>
              <w:spacing w:before="60" w:after="60"/>
              <w:ind w:left="57" w:right="57" w:firstLine="0"/>
              <w:rPr>
                <w:sz w:val="20"/>
              </w:rPr>
            </w:pPr>
            <w:r w:rsidRPr="009070C8">
              <w:rPr>
                <w:sz w:val="20"/>
              </w:rPr>
              <w:t xml:space="preserve">Australian </w:t>
            </w:r>
            <w:r w:rsidR="00E13E9D" w:rsidRPr="009070C8">
              <w:rPr>
                <w:sz w:val="20"/>
              </w:rPr>
              <w:t>C</w:t>
            </w:r>
            <w:r w:rsidRPr="009070C8">
              <w:rPr>
                <w:sz w:val="20"/>
              </w:rPr>
              <w:t>ommission</w:t>
            </w:r>
            <w:r w:rsidR="00E13E9D" w:rsidRPr="009070C8">
              <w:rPr>
                <w:sz w:val="20"/>
              </w:rPr>
              <w:t xml:space="preserve"> on Safety and Quality in Health Care</w:t>
            </w:r>
            <w:r w:rsidR="00C47BD1" w:rsidRPr="009070C8">
              <w:rPr>
                <w:sz w:val="20"/>
              </w:rPr>
              <w:t>.</w:t>
            </w:r>
          </w:p>
        </w:tc>
      </w:tr>
      <w:tr w:rsidR="00942376" w:rsidRPr="002266EB" w14:paraId="44A92880"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6EB528AE" w14:textId="77777777" w:rsidR="00942376" w:rsidRPr="009070C8" w:rsidRDefault="00942376" w:rsidP="009070C8">
            <w:pPr>
              <w:pStyle w:val="BodyText"/>
              <w:spacing w:before="60" w:after="60"/>
              <w:ind w:left="57" w:right="57" w:firstLine="0"/>
              <w:rPr>
                <w:sz w:val="20"/>
              </w:rPr>
            </w:pPr>
            <w:r w:rsidRPr="009070C8">
              <w:rPr>
                <w:sz w:val="20"/>
              </w:rPr>
              <w:t>ADHA</w:t>
            </w:r>
          </w:p>
        </w:tc>
        <w:tc>
          <w:tcPr>
            <w:tcW w:w="6576" w:type="dxa"/>
          </w:tcPr>
          <w:p w14:paraId="36E685D6" w14:textId="77777777" w:rsidR="00942376" w:rsidRPr="009070C8" w:rsidRDefault="00942376" w:rsidP="009070C8">
            <w:pPr>
              <w:pStyle w:val="BodyText"/>
              <w:spacing w:before="60" w:after="60"/>
              <w:ind w:left="57" w:right="57" w:firstLine="0"/>
              <w:rPr>
                <w:sz w:val="20"/>
              </w:rPr>
            </w:pPr>
            <w:r w:rsidRPr="009070C8">
              <w:rPr>
                <w:sz w:val="20"/>
              </w:rPr>
              <w:t>Australian Digital Health Agency</w:t>
            </w:r>
            <w:r w:rsidR="00C47BD1" w:rsidRPr="009070C8">
              <w:rPr>
                <w:sz w:val="20"/>
              </w:rPr>
              <w:t>.</w:t>
            </w:r>
          </w:p>
        </w:tc>
      </w:tr>
      <w:tr w:rsidR="000A5BAB" w:rsidRPr="002266EB" w14:paraId="5BBADC2B" w14:textId="77777777" w:rsidTr="00942376">
        <w:trPr>
          <w:cantSplit/>
        </w:trPr>
        <w:tc>
          <w:tcPr>
            <w:tcW w:w="2494" w:type="dxa"/>
          </w:tcPr>
          <w:p w14:paraId="28839476" w14:textId="77777777" w:rsidR="000A5BAB" w:rsidRPr="009070C8" w:rsidRDefault="000A5BAB" w:rsidP="000A5BAB">
            <w:pPr>
              <w:pStyle w:val="BodyText"/>
              <w:spacing w:before="60" w:after="60"/>
              <w:ind w:left="57" w:right="57" w:firstLine="0"/>
              <w:rPr>
                <w:sz w:val="20"/>
              </w:rPr>
            </w:pPr>
            <w:r>
              <w:rPr>
                <w:sz w:val="20"/>
              </w:rPr>
              <w:t>AHPRA</w:t>
            </w:r>
          </w:p>
        </w:tc>
        <w:tc>
          <w:tcPr>
            <w:tcW w:w="6576" w:type="dxa"/>
          </w:tcPr>
          <w:p w14:paraId="5AE3442A" w14:textId="77777777" w:rsidR="000A5BAB" w:rsidRPr="009070C8" w:rsidRDefault="000A5BAB" w:rsidP="000A5BAB">
            <w:pPr>
              <w:pStyle w:val="BodyText"/>
              <w:spacing w:before="60" w:after="60"/>
              <w:ind w:left="57" w:right="57" w:firstLine="0"/>
              <w:rPr>
                <w:sz w:val="20"/>
              </w:rPr>
            </w:pPr>
            <w:r w:rsidRPr="000A5BAB">
              <w:rPr>
                <w:sz w:val="20"/>
              </w:rPr>
              <w:t>Australian Health Practitioner Regulation Agency</w:t>
            </w:r>
            <w:r w:rsidR="008E4A7F">
              <w:rPr>
                <w:sz w:val="20"/>
              </w:rPr>
              <w:t>.</w:t>
            </w:r>
          </w:p>
        </w:tc>
      </w:tr>
      <w:tr w:rsidR="00942651" w:rsidRPr="002266EB" w14:paraId="3D42D967"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2A9D4074" w14:textId="77777777" w:rsidR="007B7501" w:rsidRPr="009070C8" w:rsidRDefault="007B7501" w:rsidP="009070C8">
            <w:pPr>
              <w:pStyle w:val="BodyText"/>
              <w:spacing w:before="60" w:after="60"/>
              <w:ind w:left="57" w:right="57" w:firstLine="0"/>
              <w:rPr>
                <w:sz w:val="20"/>
              </w:rPr>
            </w:pPr>
            <w:r w:rsidRPr="009070C8">
              <w:rPr>
                <w:sz w:val="20"/>
              </w:rPr>
              <w:t>AIP</w:t>
            </w:r>
          </w:p>
        </w:tc>
        <w:tc>
          <w:tcPr>
            <w:tcW w:w="6576" w:type="dxa"/>
          </w:tcPr>
          <w:p w14:paraId="6DBE6C04" w14:textId="77777777" w:rsidR="007B7501" w:rsidRPr="009070C8" w:rsidRDefault="007B7501" w:rsidP="009070C8">
            <w:pPr>
              <w:pStyle w:val="BodyText"/>
              <w:spacing w:before="60" w:after="60"/>
              <w:ind w:left="57" w:right="57" w:firstLine="0"/>
              <w:rPr>
                <w:sz w:val="20"/>
              </w:rPr>
            </w:pPr>
            <w:r w:rsidRPr="009070C8">
              <w:rPr>
                <w:sz w:val="20"/>
              </w:rPr>
              <w:t>Active Ingredient Prescribing</w:t>
            </w:r>
            <w:r w:rsidR="00C47BD1" w:rsidRPr="009070C8">
              <w:rPr>
                <w:sz w:val="20"/>
              </w:rPr>
              <w:t>.</w:t>
            </w:r>
          </w:p>
        </w:tc>
      </w:tr>
      <w:tr w:rsidR="00942651" w:rsidRPr="002266EB" w14:paraId="4C0CBBE9" w14:textId="77777777" w:rsidTr="00942376">
        <w:trPr>
          <w:cantSplit/>
        </w:trPr>
        <w:tc>
          <w:tcPr>
            <w:tcW w:w="2494" w:type="dxa"/>
          </w:tcPr>
          <w:p w14:paraId="489B1950" w14:textId="77777777" w:rsidR="00D84763" w:rsidRPr="009070C8" w:rsidRDefault="00D84763" w:rsidP="009070C8">
            <w:pPr>
              <w:pStyle w:val="BodyText"/>
              <w:spacing w:before="60" w:after="60"/>
              <w:ind w:left="57" w:right="57" w:firstLine="0"/>
              <w:rPr>
                <w:sz w:val="20"/>
              </w:rPr>
            </w:pPr>
            <w:r w:rsidRPr="009070C8">
              <w:rPr>
                <w:sz w:val="20"/>
              </w:rPr>
              <w:t>AMA</w:t>
            </w:r>
          </w:p>
        </w:tc>
        <w:tc>
          <w:tcPr>
            <w:tcW w:w="6576" w:type="dxa"/>
          </w:tcPr>
          <w:p w14:paraId="0126E430" w14:textId="77777777" w:rsidR="00D84763" w:rsidRPr="009070C8" w:rsidRDefault="00D84763" w:rsidP="009070C8">
            <w:pPr>
              <w:pStyle w:val="BodyText"/>
              <w:spacing w:before="60" w:after="60"/>
              <w:ind w:left="57" w:right="57" w:firstLine="0"/>
              <w:rPr>
                <w:sz w:val="20"/>
              </w:rPr>
            </w:pPr>
            <w:r w:rsidRPr="009070C8">
              <w:rPr>
                <w:sz w:val="20"/>
              </w:rPr>
              <w:t>Australian Medical Association</w:t>
            </w:r>
            <w:r w:rsidR="00C47BD1" w:rsidRPr="009070C8">
              <w:rPr>
                <w:sz w:val="20"/>
              </w:rPr>
              <w:t>.</w:t>
            </w:r>
          </w:p>
        </w:tc>
      </w:tr>
      <w:tr w:rsidR="00942651" w:rsidRPr="002266EB" w14:paraId="2965FC7F"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1F91B583" w14:textId="77777777" w:rsidR="007B7501" w:rsidRPr="009070C8" w:rsidRDefault="007B7501" w:rsidP="009070C8">
            <w:pPr>
              <w:pStyle w:val="BodyText"/>
              <w:spacing w:before="60" w:after="60"/>
              <w:ind w:left="57" w:right="57" w:firstLine="0"/>
              <w:rPr>
                <w:b/>
                <w:sz w:val="20"/>
              </w:rPr>
            </w:pPr>
            <w:r w:rsidRPr="009070C8">
              <w:rPr>
                <w:sz w:val="20"/>
              </w:rPr>
              <w:t>AMT</w:t>
            </w:r>
          </w:p>
        </w:tc>
        <w:tc>
          <w:tcPr>
            <w:tcW w:w="6576" w:type="dxa"/>
          </w:tcPr>
          <w:p w14:paraId="33ED15B1" w14:textId="77777777" w:rsidR="007B7501" w:rsidRPr="009070C8" w:rsidRDefault="007B7501" w:rsidP="009070C8">
            <w:pPr>
              <w:pStyle w:val="BodyText"/>
              <w:spacing w:before="60" w:after="60"/>
              <w:ind w:left="57" w:right="57" w:firstLine="0"/>
              <w:rPr>
                <w:sz w:val="20"/>
              </w:rPr>
            </w:pPr>
            <w:r w:rsidRPr="009070C8">
              <w:rPr>
                <w:sz w:val="20"/>
              </w:rPr>
              <w:t>Australian Medicines Terminology</w:t>
            </w:r>
            <w:r w:rsidR="00C47BD1" w:rsidRPr="009070C8">
              <w:rPr>
                <w:sz w:val="20"/>
              </w:rPr>
              <w:t>.</w:t>
            </w:r>
          </w:p>
        </w:tc>
      </w:tr>
      <w:tr w:rsidR="00942651" w:rsidRPr="002266EB" w14:paraId="729C905C" w14:textId="77777777" w:rsidTr="00942376">
        <w:trPr>
          <w:cantSplit/>
        </w:trPr>
        <w:tc>
          <w:tcPr>
            <w:tcW w:w="2494" w:type="dxa"/>
          </w:tcPr>
          <w:p w14:paraId="48945BC5" w14:textId="77777777" w:rsidR="007B7501" w:rsidRPr="009070C8" w:rsidRDefault="007B7501" w:rsidP="009070C8">
            <w:pPr>
              <w:pStyle w:val="BodyText"/>
              <w:spacing w:before="60" w:after="60"/>
              <w:ind w:left="57" w:right="57" w:firstLine="0"/>
              <w:rPr>
                <w:sz w:val="20"/>
              </w:rPr>
            </w:pPr>
            <w:r w:rsidRPr="009070C8">
              <w:rPr>
                <w:sz w:val="20"/>
              </w:rPr>
              <w:t>AMT Reference Set</w:t>
            </w:r>
          </w:p>
        </w:tc>
        <w:tc>
          <w:tcPr>
            <w:tcW w:w="6576" w:type="dxa"/>
          </w:tcPr>
          <w:p w14:paraId="7E9160EA" w14:textId="77777777" w:rsidR="007B7501" w:rsidRPr="009070C8" w:rsidRDefault="007B7501" w:rsidP="009070C8">
            <w:pPr>
              <w:pStyle w:val="BodyText"/>
              <w:spacing w:before="60" w:after="60"/>
              <w:ind w:left="57" w:right="57" w:firstLine="0"/>
              <w:rPr>
                <w:sz w:val="20"/>
              </w:rPr>
            </w:pPr>
            <w:r w:rsidRPr="009070C8">
              <w:rPr>
                <w:sz w:val="20"/>
              </w:rPr>
              <w:t>Reference sets serve as a mechanism for creating subsets of content from AMT. Each of these reference sets is used to represent a set of AMT components for a specific purpose within a defined scope.</w:t>
            </w:r>
          </w:p>
          <w:p w14:paraId="2A3FF4BC" w14:textId="77777777" w:rsidR="007B7501" w:rsidRPr="009070C8" w:rsidRDefault="007B7501" w:rsidP="009070C8">
            <w:pPr>
              <w:pStyle w:val="BodyText"/>
              <w:spacing w:before="60" w:after="60"/>
              <w:ind w:left="57" w:right="57" w:firstLine="0"/>
              <w:rPr>
                <w:sz w:val="20"/>
              </w:rPr>
            </w:pPr>
            <w:r w:rsidRPr="009070C8">
              <w:rPr>
                <w:sz w:val="20"/>
              </w:rPr>
              <w:t xml:space="preserve">For </w:t>
            </w:r>
            <w:r w:rsidR="00375D6F" w:rsidRPr="009070C8">
              <w:rPr>
                <w:sz w:val="20"/>
              </w:rPr>
              <w:t>example,</w:t>
            </w:r>
            <w:r w:rsidRPr="009070C8">
              <w:rPr>
                <w:sz w:val="20"/>
              </w:rPr>
              <w:t xml:space="preserve"> a reference set could contain </w:t>
            </w:r>
            <w:r w:rsidR="000C729B" w:rsidRPr="009070C8">
              <w:rPr>
                <w:sz w:val="20"/>
              </w:rPr>
              <w:t>the</w:t>
            </w:r>
            <w:r w:rsidRPr="009070C8">
              <w:rPr>
                <w:sz w:val="20"/>
              </w:rPr>
              <w:t xml:space="preserve"> AMT concept IDs </w:t>
            </w:r>
            <w:r w:rsidR="000C729B" w:rsidRPr="009070C8">
              <w:rPr>
                <w:sz w:val="20"/>
              </w:rPr>
              <w:t>applying</w:t>
            </w:r>
            <w:r w:rsidRPr="009070C8">
              <w:rPr>
                <w:sz w:val="20"/>
              </w:rPr>
              <w:t xml:space="preserve"> </w:t>
            </w:r>
            <w:r w:rsidR="000C729B" w:rsidRPr="009070C8">
              <w:rPr>
                <w:sz w:val="20"/>
              </w:rPr>
              <w:t xml:space="preserve">to </w:t>
            </w:r>
            <w:r w:rsidR="00D32425" w:rsidRPr="009070C8">
              <w:rPr>
                <w:sz w:val="20"/>
              </w:rPr>
              <w:t xml:space="preserve">medicinal items for  identifying drugs for </w:t>
            </w:r>
            <w:r w:rsidR="00D24E20">
              <w:rPr>
                <w:sz w:val="20"/>
              </w:rPr>
              <w:t>the</w:t>
            </w:r>
            <w:r w:rsidR="00D24E20" w:rsidRPr="009070C8">
              <w:rPr>
                <w:sz w:val="20"/>
              </w:rPr>
              <w:t xml:space="preserve"> </w:t>
            </w:r>
            <w:r w:rsidR="00D32425" w:rsidRPr="009070C8">
              <w:rPr>
                <w:sz w:val="20"/>
              </w:rPr>
              <w:t xml:space="preserve">prescriber </w:t>
            </w:r>
            <w:r w:rsidR="00C81996">
              <w:rPr>
                <w:sz w:val="20"/>
              </w:rPr>
              <w:t>to</w:t>
            </w:r>
            <w:r w:rsidR="00D24E20" w:rsidRPr="009070C8">
              <w:rPr>
                <w:sz w:val="20"/>
              </w:rPr>
              <w:t xml:space="preserve"> </w:t>
            </w:r>
            <w:r w:rsidR="00D32425" w:rsidRPr="009070C8">
              <w:rPr>
                <w:sz w:val="20"/>
              </w:rPr>
              <w:t xml:space="preserve">consider </w:t>
            </w:r>
            <w:r w:rsidR="00C81996" w:rsidRPr="00C81996">
              <w:rPr>
                <w:sz w:val="20"/>
              </w:rPr>
              <w:t>if the brand name on the prescription is necessary for the clinical treatment of their patient</w:t>
            </w:r>
            <w:r w:rsidR="00D32425" w:rsidRPr="009070C8">
              <w:rPr>
                <w:sz w:val="20"/>
              </w:rPr>
              <w:t>.</w:t>
            </w:r>
          </w:p>
        </w:tc>
      </w:tr>
      <w:tr w:rsidR="00DE5D5A" w:rsidRPr="002266EB" w14:paraId="687AE059"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7B5AFEDF" w14:textId="77777777" w:rsidR="00DE5D5A" w:rsidRPr="009070C8" w:rsidRDefault="00DE5D5A" w:rsidP="00C343AD">
            <w:pPr>
              <w:pStyle w:val="BodyText"/>
              <w:spacing w:before="60" w:after="60"/>
              <w:ind w:left="57" w:right="57" w:firstLine="0"/>
              <w:rPr>
                <w:sz w:val="20"/>
              </w:rPr>
            </w:pPr>
            <w:r>
              <w:rPr>
                <w:sz w:val="20"/>
              </w:rPr>
              <w:t>APF</w:t>
            </w:r>
          </w:p>
        </w:tc>
        <w:tc>
          <w:tcPr>
            <w:tcW w:w="6576" w:type="dxa"/>
          </w:tcPr>
          <w:p w14:paraId="6CF0AF1D" w14:textId="77777777" w:rsidR="00DE5D5A" w:rsidRPr="009070C8" w:rsidRDefault="00DE5D5A" w:rsidP="00DE5D5A">
            <w:pPr>
              <w:pStyle w:val="BodyText"/>
              <w:spacing w:before="60" w:after="60"/>
              <w:ind w:left="57" w:right="57" w:firstLine="33"/>
              <w:rPr>
                <w:sz w:val="20"/>
              </w:rPr>
            </w:pPr>
            <w:r w:rsidRPr="00DE5D5A">
              <w:rPr>
                <w:sz w:val="20"/>
              </w:rPr>
              <w:t>Australian Pharmaceutical Formulary</w:t>
            </w:r>
          </w:p>
        </w:tc>
      </w:tr>
      <w:tr w:rsidR="00942651" w:rsidRPr="002266EB" w14:paraId="0A7D495E" w14:textId="77777777" w:rsidTr="00942376">
        <w:trPr>
          <w:cantSplit/>
        </w:trPr>
        <w:tc>
          <w:tcPr>
            <w:tcW w:w="2494" w:type="dxa"/>
          </w:tcPr>
          <w:p w14:paraId="4CFD9710" w14:textId="77777777" w:rsidR="007B7501" w:rsidRPr="009070C8" w:rsidRDefault="007B7501" w:rsidP="009070C8">
            <w:pPr>
              <w:pStyle w:val="BodyText"/>
              <w:spacing w:before="60" w:after="60"/>
              <w:ind w:left="57" w:right="57" w:firstLine="0"/>
              <w:rPr>
                <w:b/>
                <w:sz w:val="20"/>
              </w:rPr>
            </w:pPr>
            <w:r w:rsidRPr="009070C8">
              <w:rPr>
                <w:sz w:val="20"/>
              </w:rPr>
              <w:t>ARTG</w:t>
            </w:r>
          </w:p>
        </w:tc>
        <w:tc>
          <w:tcPr>
            <w:tcW w:w="6576" w:type="dxa"/>
          </w:tcPr>
          <w:p w14:paraId="37992DC2" w14:textId="77777777" w:rsidR="007B7501" w:rsidRPr="009070C8" w:rsidRDefault="007B7501" w:rsidP="009070C8">
            <w:pPr>
              <w:pStyle w:val="BodyText"/>
              <w:spacing w:before="60" w:after="60"/>
              <w:ind w:left="57" w:right="57" w:firstLine="0"/>
              <w:rPr>
                <w:sz w:val="20"/>
              </w:rPr>
            </w:pPr>
            <w:r w:rsidRPr="009070C8">
              <w:rPr>
                <w:sz w:val="20"/>
              </w:rPr>
              <w:t>Australian Register of Therapeutic Goods. The Australian Register of Therapeutic Goods is a computer database of therapeutic goods maintained by the Therapeutic Goods Administration (TGA).</w:t>
            </w:r>
            <w:r w:rsidRPr="009070C8">
              <w:rPr>
                <w:rStyle w:val="FootnoteReference"/>
                <w:sz w:val="20"/>
              </w:rPr>
              <w:footnoteReference w:id="2"/>
            </w:r>
          </w:p>
        </w:tc>
      </w:tr>
      <w:tr w:rsidR="00942651" w:rsidRPr="002266EB" w14:paraId="7FD6257E"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680AEAC0" w14:textId="77777777" w:rsidR="007B7501" w:rsidRPr="009070C8" w:rsidRDefault="007B7501" w:rsidP="009070C8">
            <w:pPr>
              <w:pStyle w:val="BodyText"/>
              <w:spacing w:before="60" w:after="60"/>
              <w:ind w:left="57" w:right="57" w:firstLine="0"/>
              <w:rPr>
                <w:sz w:val="20"/>
              </w:rPr>
            </w:pPr>
            <w:r w:rsidRPr="009070C8">
              <w:rPr>
                <w:sz w:val="20"/>
              </w:rPr>
              <w:t>Biosimilar</w:t>
            </w:r>
          </w:p>
        </w:tc>
        <w:tc>
          <w:tcPr>
            <w:tcW w:w="6576" w:type="dxa"/>
          </w:tcPr>
          <w:p w14:paraId="05DCB9F2" w14:textId="77777777" w:rsidR="007B7501" w:rsidRPr="009070C8" w:rsidRDefault="007B7501" w:rsidP="009070C8">
            <w:pPr>
              <w:pStyle w:val="BodyText"/>
              <w:spacing w:before="60" w:after="60"/>
              <w:ind w:left="57" w:right="57" w:firstLine="0"/>
              <w:rPr>
                <w:sz w:val="20"/>
              </w:rPr>
            </w:pPr>
            <w:r w:rsidRPr="009070C8">
              <w:rPr>
                <w:sz w:val="20"/>
              </w:rPr>
              <w:t>A biosimilar is a biologic medical product that is almost an identical copy of an original product that is manufactured by a different company. Biosimilars are officially approved versions of original "innovator" products and can be manufactured when the original product's patent expires.</w:t>
            </w:r>
          </w:p>
        </w:tc>
      </w:tr>
      <w:tr w:rsidR="00ED2049" w:rsidRPr="002266EB" w14:paraId="3F0F26A4" w14:textId="77777777" w:rsidTr="00942376">
        <w:trPr>
          <w:cantSplit/>
        </w:trPr>
        <w:tc>
          <w:tcPr>
            <w:tcW w:w="2494" w:type="dxa"/>
          </w:tcPr>
          <w:p w14:paraId="556955E6" w14:textId="77777777" w:rsidR="00ED2049" w:rsidRPr="009070C8" w:rsidRDefault="00BC1C71" w:rsidP="00BC1C71">
            <w:pPr>
              <w:pStyle w:val="BodyText"/>
              <w:spacing w:before="60" w:after="60"/>
              <w:ind w:left="57" w:right="57" w:firstLine="0"/>
              <w:rPr>
                <w:sz w:val="20"/>
              </w:rPr>
            </w:pPr>
            <w:r>
              <w:rPr>
                <w:sz w:val="20"/>
              </w:rPr>
              <w:t>Brand Name</w:t>
            </w:r>
          </w:p>
        </w:tc>
        <w:tc>
          <w:tcPr>
            <w:tcW w:w="6576" w:type="dxa"/>
          </w:tcPr>
          <w:p w14:paraId="45112D99" w14:textId="77777777" w:rsidR="00ED2049" w:rsidRPr="009070C8" w:rsidRDefault="00BC1C71" w:rsidP="005E1BDB">
            <w:pPr>
              <w:pStyle w:val="BodyText"/>
              <w:spacing w:before="60" w:after="60"/>
              <w:ind w:left="57" w:right="57" w:firstLine="0"/>
              <w:rPr>
                <w:sz w:val="20"/>
              </w:rPr>
            </w:pPr>
            <w:r>
              <w:rPr>
                <w:sz w:val="20"/>
              </w:rPr>
              <w:t xml:space="preserve">The trade name given to </w:t>
            </w:r>
            <w:r w:rsidR="00203FE5">
              <w:rPr>
                <w:sz w:val="20"/>
              </w:rPr>
              <w:t xml:space="preserve">the </w:t>
            </w:r>
            <w:r>
              <w:rPr>
                <w:sz w:val="20"/>
              </w:rPr>
              <w:t xml:space="preserve">drug </w:t>
            </w:r>
            <w:r w:rsidR="00457A7C">
              <w:rPr>
                <w:sz w:val="20"/>
              </w:rPr>
              <w:t>by</w:t>
            </w:r>
            <w:r>
              <w:rPr>
                <w:sz w:val="20"/>
              </w:rPr>
              <w:t xml:space="preserve"> the company which manufacturers it</w:t>
            </w:r>
            <w:r w:rsidR="00457A7C">
              <w:rPr>
                <w:sz w:val="20"/>
              </w:rPr>
              <w:t>,</w:t>
            </w:r>
            <w:r>
              <w:rPr>
                <w:sz w:val="20"/>
              </w:rPr>
              <w:t xml:space="preserve"> protected by patent</w:t>
            </w:r>
            <w:r w:rsidR="00457A7C">
              <w:rPr>
                <w:sz w:val="20"/>
              </w:rPr>
              <w:t>.</w:t>
            </w:r>
          </w:p>
        </w:tc>
      </w:tr>
      <w:tr w:rsidR="005E1BDB" w:rsidRPr="002266EB" w14:paraId="3B5F0E7F"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434A362C" w14:textId="77777777" w:rsidR="005E1BDB" w:rsidRPr="009070C8" w:rsidRDefault="005E1BDB" w:rsidP="005E1BDB">
            <w:pPr>
              <w:pStyle w:val="BodyText"/>
              <w:spacing w:before="60" w:after="60"/>
              <w:ind w:left="57" w:right="57" w:firstLine="0"/>
              <w:rPr>
                <w:sz w:val="20"/>
              </w:rPr>
            </w:pPr>
            <w:r w:rsidRPr="009070C8">
              <w:rPr>
                <w:sz w:val="20"/>
              </w:rPr>
              <w:t>Computer Generated Prescription</w:t>
            </w:r>
          </w:p>
        </w:tc>
        <w:tc>
          <w:tcPr>
            <w:tcW w:w="6576" w:type="dxa"/>
          </w:tcPr>
          <w:p w14:paraId="110D1299" w14:textId="77777777" w:rsidR="005E1BDB" w:rsidRPr="009070C8" w:rsidRDefault="005E1BDB" w:rsidP="005E1BDB">
            <w:pPr>
              <w:pStyle w:val="BodyText"/>
              <w:spacing w:before="60" w:after="60"/>
              <w:ind w:left="57" w:right="57" w:firstLine="0"/>
              <w:rPr>
                <w:sz w:val="20"/>
              </w:rPr>
            </w:pPr>
            <w:r w:rsidRPr="009070C8">
              <w:rPr>
                <w:sz w:val="20"/>
              </w:rPr>
              <w:t xml:space="preserve">A prescription generated by prescribing software, whether printed and hand signed or an electronic prescription (once electronic prescribing is enabled in October 2019). </w:t>
            </w:r>
          </w:p>
          <w:p w14:paraId="3D8F3E8A" w14:textId="77777777" w:rsidR="005E1BDB" w:rsidRPr="009070C8" w:rsidRDefault="005E1BDB" w:rsidP="005E1BDB">
            <w:pPr>
              <w:pStyle w:val="BodyText"/>
              <w:spacing w:before="60" w:after="60"/>
              <w:ind w:left="57" w:right="57" w:firstLine="0"/>
              <w:rPr>
                <w:sz w:val="20"/>
              </w:rPr>
            </w:pPr>
            <w:r w:rsidRPr="009070C8">
              <w:rPr>
                <w:sz w:val="20"/>
              </w:rPr>
              <w:t xml:space="preserve">This includes computer generated and electronic medication charts in hospitals and the residential aged care setting. </w:t>
            </w:r>
          </w:p>
        </w:tc>
      </w:tr>
      <w:tr w:rsidR="005E1BDB" w:rsidRPr="002266EB" w14:paraId="09443AE3" w14:textId="77777777" w:rsidTr="00942376">
        <w:trPr>
          <w:cantSplit/>
        </w:trPr>
        <w:tc>
          <w:tcPr>
            <w:tcW w:w="2494" w:type="dxa"/>
          </w:tcPr>
          <w:p w14:paraId="48BBFA39" w14:textId="77777777" w:rsidR="005E1BDB" w:rsidRPr="009070C8" w:rsidRDefault="005E1BDB" w:rsidP="005E1BDB">
            <w:pPr>
              <w:pStyle w:val="BodyText"/>
              <w:spacing w:before="60" w:after="60"/>
              <w:ind w:left="57" w:right="57" w:firstLine="0"/>
              <w:rPr>
                <w:sz w:val="20"/>
              </w:rPr>
            </w:pPr>
            <w:r w:rsidRPr="009070C8">
              <w:rPr>
                <w:sz w:val="20"/>
              </w:rPr>
              <w:t>D</w:t>
            </w:r>
            <w:r>
              <w:rPr>
                <w:sz w:val="20"/>
              </w:rPr>
              <w:t>epartment of Health</w:t>
            </w:r>
          </w:p>
        </w:tc>
        <w:tc>
          <w:tcPr>
            <w:tcW w:w="6576" w:type="dxa"/>
          </w:tcPr>
          <w:p w14:paraId="6E7B3F9C" w14:textId="77777777" w:rsidR="005E1BDB" w:rsidRPr="009070C8" w:rsidRDefault="005E1BDB" w:rsidP="005E1BDB">
            <w:pPr>
              <w:pStyle w:val="BodyText"/>
              <w:spacing w:before="60" w:after="60"/>
              <w:ind w:left="57" w:right="57" w:firstLine="0"/>
              <w:rPr>
                <w:sz w:val="20"/>
              </w:rPr>
            </w:pPr>
            <w:r w:rsidRPr="009070C8">
              <w:rPr>
                <w:sz w:val="20"/>
              </w:rPr>
              <w:t xml:space="preserve">Australian Government Department of Health. </w:t>
            </w:r>
          </w:p>
        </w:tc>
      </w:tr>
      <w:tr w:rsidR="005E1BDB" w:rsidRPr="002266EB" w14:paraId="2DAA6089"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1993C9A5" w14:textId="77777777" w:rsidR="005E1BDB" w:rsidRPr="009070C8" w:rsidRDefault="005E1BDB" w:rsidP="005E1BDB">
            <w:pPr>
              <w:pStyle w:val="BodyText"/>
              <w:spacing w:before="60" w:after="60"/>
              <w:ind w:left="57" w:right="57" w:firstLine="0"/>
              <w:rPr>
                <w:sz w:val="20"/>
              </w:rPr>
            </w:pPr>
            <w:r w:rsidRPr="009070C8">
              <w:rPr>
                <w:sz w:val="20"/>
              </w:rPr>
              <w:lastRenderedPageBreak/>
              <w:t>D</w:t>
            </w:r>
            <w:r>
              <w:rPr>
                <w:sz w:val="20"/>
              </w:rPr>
              <w:t>rug</w:t>
            </w:r>
          </w:p>
        </w:tc>
        <w:tc>
          <w:tcPr>
            <w:tcW w:w="6576" w:type="dxa"/>
          </w:tcPr>
          <w:p w14:paraId="55AB74BD" w14:textId="77777777" w:rsidR="005E1BDB" w:rsidRPr="009070C8" w:rsidRDefault="005E1BDB" w:rsidP="005E1BDB">
            <w:pPr>
              <w:pStyle w:val="BodyText"/>
              <w:spacing w:before="60" w:after="60"/>
              <w:ind w:left="57" w:right="57" w:firstLine="0"/>
              <w:rPr>
                <w:sz w:val="20"/>
              </w:rPr>
            </w:pPr>
            <w:r>
              <w:rPr>
                <w:sz w:val="20"/>
              </w:rPr>
              <w:t>Within the context of this document "drug" is used to refer to prescribable items listed under the Schedule of Pharmaceutical Benefits being the terminology consistent with references under the PBS/RPBS regulations</w:t>
            </w:r>
            <w:r w:rsidRPr="009070C8">
              <w:rPr>
                <w:sz w:val="20"/>
              </w:rPr>
              <w:t xml:space="preserve">. </w:t>
            </w:r>
          </w:p>
        </w:tc>
      </w:tr>
      <w:tr w:rsidR="005E1BDB" w:rsidRPr="002266EB" w14:paraId="64AFD991" w14:textId="77777777" w:rsidTr="00942376">
        <w:trPr>
          <w:cantSplit/>
        </w:trPr>
        <w:tc>
          <w:tcPr>
            <w:tcW w:w="2494" w:type="dxa"/>
          </w:tcPr>
          <w:p w14:paraId="7C46347E" w14:textId="77777777" w:rsidR="005E1BDB" w:rsidRPr="009070C8" w:rsidRDefault="005E1BDB" w:rsidP="005E1BDB">
            <w:pPr>
              <w:pStyle w:val="BodyText"/>
              <w:spacing w:before="60" w:after="60"/>
              <w:ind w:left="57" w:right="57" w:firstLine="0"/>
              <w:rPr>
                <w:sz w:val="20"/>
              </w:rPr>
            </w:pPr>
            <w:r>
              <w:rPr>
                <w:sz w:val="20"/>
              </w:rPr>
              <w:t>DVA</w:t>
            </w:r>
          </w:p>
        </w:tc>
        <w:tc>
          <w:tcPr>
            <w:tcW w:w="6576" w:type="dxa"/>
          </w:tcPr>
          <w:p w14:paraId="2C58C5FA" w14:textId="77777777" w:rsidR="005E1BDB" w:rsidRPr="009070C8" w:rsidRDefault="005E1BDB" w:rsidP="005E1BDB">
            <w:pPr>
              <w:pStyle w:val="BodyText"/>
              <w:spacing w:before="60" w:after="60"/>
              <w:ind w:left="57" w:right="57" w:firstLine="0"/>
              <w:rPr>
                <w:sz w:val="20"/>
              </w:rPr>
            </w:pPr>
            <w:r>
              <w:rPr>
                <w:sz w:val="20"/>
              </w:rPr>
              <w:t>Department of Veteran's Affairs</w:t>
            </w:r>
          </w:p>
        </w:tc>
      </w:tr>
      <w:tr w:rsidR="00047009" w:rsidRPr="002266EB" w14:paraId="2D7BACD2"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493A7009" w14:textId="77777777" w:rsidR="00047009" w:rsidRPr="009070C8" w:rsidRDefault="00047009" w:rsidP="00047009">
            <w:pPr>
              <w:pStyle w:val="BodyText"/>
              <w:spacing w:before="60" w:after="60"/>
              <w:ind w:left="57" w:right="-298" w:hanging="30"/>
              <w:rPr>
                <w:sz w:val="20"/>
              </w:rPr>
            </w:pPr>
            <w:r>
              <w:rPr>
                <w:sz w:val="20"/>
              </w:rPr>
              <w:t>ETP</w:t>
            </w:r>
          </w:p>
        </w:tc>
        <w:tc>
          <w:tcPr>
            <w:tcW w:w="6576" w:type="dxa"/>
          </w:tcPr>
          <w:p w14:paraId="61E8D35F" w14:textId="77777777" w:rsidR="00047009" w:rsidRDefault="00047009" w:rsidP="00047009">
            <w:pPr>
              <w:pStyle w:val="BodyText"/>
              <w:spacing w:before="60" w:after="60"/>
              <w:ind w:left="57" w:right="57" w:firstLine="33"/>
              <w:rPr>
                <w:sz w:val="20"/>
              </w:rPr>
            </w:pPr>
            <w:r>
              <w:rPr>
                <w:sz w:val="20"/>
              </w:rPr>
              <w:t>Electronic Transfer of Prescriptions</w:t>
            </w:r>
          </w:p>
          <w:p w14:paraId="3C01D601" w14:textId="77777777" w:rsidR="00047009" w:rsidRPr="009070C8" w:rsidRDefault="00047009" w:rsidP="00047009">
            <w:pPr>
              <w:pStyle w:val="BodyText"/>
              <w:spacing w:before="60" w:after="60"/>
              <w:ind w:left="57" w:right="57" w:firstLine="33"/>
              <w:rPr>
                <w:sz w:val="20"/>
              </w:rPr>
            </w:pPr>
            <w:r>
              <w:rPr>
                <w:sz w:val="20"/>
              </w:rPr>
              <w:t>This facility allows a copy of the prescription to be uploaded by the prescribing software to a Prescription Exchange Service</w:t>
            </w:r>
            <w:r w:rsidR="00CA60E2">
              <w:rPr>
                <w:sz w:val="20"/>
              </w:rPr>
              <w:t xml:space="preserve"> available for downloading by the pharmacy of choice of the patient</w:t>
            </w:r>
            <w:r>
              <w:rPr>
                <w:sz w:val="20"/>
              </w:rPr>
              <w:t>.</w:t>
            </w:r>
          </w:p>
        </w:tc>
      </w:tr>
      <w:tr w:rsidR="00047009" w:rsidRPr="002266EB" w14:paraId="1DE3E3A7" w14:textId="77777777" w:rsidTr="00942376">
        <w:trPr>
          <w:cantSplit/>
        </w:trPr>
        <w:tc>
          <w:tcPr>
            <w:tcW w:w="2494" w:type="dxa"/>
          </w:tcPr>
          <w:p w14:paraId="7CA1C090" w14:textId="77777777" w:rsidR="00047009" w:rsidRPr="009070C8" w:rsidRDefault="00047009" w:rsidP="00047009">
            <w:pPr>
              <w:pStyle w:val="BodyText"/>
              <w:spacing w:before="60" w:after="60"/>
              <w:ind w:left="57" w:right="57" w:firstLine="0"/>
              <w:rPr>
                <w:b/>
                <w:sz w:val="20"/>
              </w:rPr>
            </w:pPr>
            <w:r w:rsidRPr="009070C8">
              <w:rPr>
                <w:sz w:val="20"/>
              </w:rPr>
              <w:t>Eligible Approved Supplier</w:t>
            </w:r>
          </w:p>
        </w:tc>
        <w:tc>
          <w:tcPr>
            <w:tcW w:w="6576" w:type="dxa"/>
          </w:tcPr>
          <w:p w14:paraId="64655111" w14:textId="77777777" w:rsidR="00047009" w:rsidRPr="009070C8" w:rsidRDefault="00047009" w:rsidP="00047009">
            <w:pPr>
              <w:pStyle w:val="BodyText"/>
              <w:spacing w:before="60" w:after="60"/>
              <w:ind w:left="57" w:right="57" w:firstLine="0"/>
              <w:rPr>
                <w:sz w:val="20"/>
              </w:rPr>
            </w:pPr>
            <w:r w:rsidRPr="009070C8">
              <w:rPr>
                <w:sz w:val="20"/>
              </w:rPr>
              <w:t xml:space="preserve">A Pharmacist or Medical Practitioner approved under the </w:t>
            </w:r>
            <w:r w:rsidRPr="009070C8">
              <w:rPr>
                <w:i/>
                <w:sz w:val="20"/>
              </w:rPr>
              <w:t>National Health Act 1953</w:t>
            </w:r>
            <w:r w:rsidRPr="009070C8">
              <w:rPr>
                <w:sz w:val="20"/>
              </w:rPr>
              <w:t xml:space="preserve"> to supply pharmaceutical benefits.</w:t>
            </w:r>
          </w:p>
        </w:tc>
      </w:tr>
      <w:tr w:rsidR="00047009" w:rsidRPr="002266EB" w14:paraId="60F507B1"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4AA1356A" w14:textId="77777777" w:rsidR="00047009" w:rsidRPr="00D220CB" w:rsidRDefault="00047009" w:rsidP="00047009">
            <w:pPr>
              <w:pStyle w:val="BodyText"/>
              <w:spacing w:before="60" w:after="60"/>
              <w:ind w:left="57" w:right="57" w:hanging="33"/>
              <w:rPr>
                <w:sz w:val="20"/>
              </w:rPr>
            </w:pPr>
            <w:r w:rsidRPr="00D220CB">
              <w:rPr>
                <w:sz w:val="20"/>
              </w:rPr>
              <w:t>Free text facility</w:t>
            </w:r>
          </w:p>
        </w:tc>
        <w:tc>
          <w:tcPr>
            <w:tcW w:w="6576" w:type="dxa"/>
          </w:tcPr>
          <w:p w14:paraId="258B02BE" w14:textId="77777777" w:rsidR="00047009" w:rsidRPr="00D220CB" w:rsidRDefault="00047009" w:rsidP="00047009">
            <w:pPr>
              <w:pStyle w:val="BodyText"/>
              <w:spacing w:before="60" w:after="60"/>
              <w:ind w:left="57" w:right="57" w:firstLine="26"/>
              <w:rPr>
                <w:sz w:val="20"/>
              </w:rPr>
            </w:pPr>
            <w:r w:rsidRPr="00D220CB">
              <w:rPr>
                <w:sz w:val="20"/>
              </w:rPr>
              <w:t xml:space="preserve">Free text facility allows a prescriber to simply type the drug details for a prescription as if from a typewriter, </w:t>
            </w:r>
            <w:r w:rsidRPr="00D220CB">
              <w:rPr>
                <w:sz w:val="20"/>
                <w:u w:val="single"/>
              </w:rPr>
              <w:t>without reference</w:t>
            </w:r>
            <w:r w:rsidRPr="00D220CB">
              <w:rPr>
                <w:sz w:val="20"/>
              </w:rPr>
              <w:t xml:space="preserve"> to a drug lookup.</w:t>
            </w:r>
          </w:p>
        </w:tc>
      </w:tr>
      <w:tr w:rsidR="00047009" w:rsidRPr="002266EB" w14:paraId="3F9885ED" w14:textId="77777777" w:rsidTr="00942376">
        <w:trPr>
          <w:cantSplit/>
        </w:trPr>
        <w:tc>
          <w:tcPr>
            <w:tcW w:w="2494" w:type="dxa"/>
          </w:tcPr>
          <w:p w14:paraId="3334F4E2" w14:textId="77777777" w:rsidR="00047009" w:rsidRPr="009070C8" w:rsidRDefault="00047009" w:rsidP="00047009">
            <w:pPr>
              <w:pStyle w:val="BodyText"/>
              <w:spacing w:before="60" w:after="60"/>
              <w:ind w:left="57" w:right="57" w:firstLine="0"/>
              <w:rPr>
                <w:sz w:val="20"/>
              </w:rPr>
            </w:pPr>
            <w:r w:rsidRPr="009070C8">
              <w:rPr>
                <w:sz w:val="20"/>
              </w:rPr>
              <w:t>Electronic prescription</w:t>
            </w:r>
          </w:p>
        </w:tc>
        <w:tc>
          <w:tcPr>
            <w:tcW w:w="6576" w:type="dxa"/>
          </w:tcPr>
          <w:p w14:paraId="11A344F1" w14:textId="77777777" w:rsidR="00047009" w:rsidRPr="009070C8" w:rsidRDefault="00047009" w:rsidP="00047009">
            <w:pPr>
              <w:pStyle w:val="BodyText"/>
              <w:spacing w:before="60" w:after="60"/>
              <w:ind w:left="57" w:right="57" w:firstLine="0"/>
              <w:rPr>
                <w:sz w:val="20"/>
              </w:rPr>
            </w:pPr>
            <w:r w:rsidRPr="009070C8">
              <w:rPr>
                <w:sz w:val="20"/>
              </w:rPr>
              <w:t>An electronic prescription is a legal PBS prescription in an electronic format that is electronically created and made available for dispensing (rather than in a paper format).</w:t>
            </w:r>
          </w:p>
        </w:tc>
      </w:tr>
      <w:tr w:rsidR="00047009" w:rsidRPr="002266EB" w14:paraId="5C6E0F2B"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5956ADA9" w14:textId="77777777" w:rsidR="00047009" w:rsidRPr="009070C8" w:rsidRDefault="00047009" w:rsidP="00047009">
            <w:pPr>
              <w:pStyle w:val="BodyText"/>
              <w:spacing w:before="60" w:after="60"/>
              <w:ind w:left="57" w:right="57" w:firstLine="0"/>
              <w:rPr>
                <w:sz w:val="20"/>
              </w:rPr>
            </w:pPr>
            <w:r w:rsidRPr="009070C8">
              <w:rPr>
                <w:sz w:val="20"/>
              </w:rPr>
              <w:t>GBMA</w:t>
            </w:r>
          </w:p>
        </w:tc>
        <w:tc>
          <w:tcPr>
            <w:tcW w:w="6576" w:type="dxa"/>
          </w:tcPr>
          <w:p w14:paraId="6D51210E" w14:textId="77777777" w:rsidR="00047009" w:rsidRPr="009070C8" w:rsidRDefault="00047009" w:rsidP="00047009">
            <w:pPr>
              <w:pStyle w:val="BodyText"/>
              <w:spacing w:before="60" w:after="60"/>
              <w:ind w:left="57" w:right="57" w:firstLine="0"/>
              <w:rPr>
                <w:sz w:val="20"/>
              </w:rPr>
            </w:pPr>
            <w:r w:rsidRPr="009070C8">
              <w:rPr>
                <w:sz w:val="20"/>
              </w:rPr>
              <w:t>The Generic and Biosimilar Medicines Association.</w:t>
            </w:r>
          </w:p>
        </w:tc>
      </w:tr>
      <w:tr w:rsidR="00047009" w:rsidRPr="002266EB" w14:paraId="4369B7C8" w14:textId="77777777" w:rsidTr="00942376">
        <w:trPr>
          <w:cantSplit/>
        </w:trPr>
        <w:tc>
          <w:tcPr>
            <w:tcW w:w="2494" w:type="dxa"/>
          </w:tcPr>
          <w:p w14:paraId="0548D2D8" w14:textId="77777777" w:rsidR="00047009" w:rsidRPr="009070C8" w:rsidRDefault="00047009" w:rsidP="00047009">
            <w:pPr>
              <w:pStyle w:val="BodyText"/>
              <w:spacing w:before="60" w:after="60"/>
              <w:ind w:left="57" w:right="57" w:firstLine="0"/>
              <w:rPr>
                <w:sz w:val="20"/>
              </w:rPr>
            </w:pPr>
            <w:r w:rsidRPr="009070C8">
              <w:rPr>
                <w:sz w:val="20"/>
              </w:rPr>
              <w:t>Generic Brand/Generic Medicine</w:t>
            </w:r>
          </w:p>
        </w:tc>
        <w:tc>
          <w:tcPr>
            <w:tcW w:w="6576" w:type="dxa"/>
          </w:tcPr>
          <w:p w14:paraId="55CD635D" w14:textId="77777777" w:rsidR="00047009" w:rsidRPr="009070C8" w:rsidRDefault="00047009" w:rsidP="00047009">
            <w:pPr>
              <w:pStyle w:val="BodyText"/>
              <w:spacing w:before="60" w:after="60"/>
              <w:ind w:left="57" w:right="57" w:firstLine="0"/>
              <w:rPr>
                <w:sz w:val="20"/>
              </w:rPr>
            </w:pPr>
            <w:r w:rsidRPr="009070C8">
              <w:rPr>
                <w:sz w:val="20"/>
              </w:rPr>
              <w:t>A generic brand is a drug product that is comparable to the originator drug as registered with the registration authority (in this case the TGA) which has its dosage form, strength, route of administration, quality and performance characteristics, and intended use therapeutically identical to the originator drug.</w:t>
            </w:r>
          </w:p>
        </w:tc>
      </w:tr>
      <w:tr w:rsidR="00047009" w:rsidRPr="002266EB" w14:paraId="046E06CD"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49BC5B0F" w14:textId="77777777" w:rsidR="00047009" w:rsidRPr="009070C8" w:rsidRDefault="00047009" w:rsidP="00047009">
            <w:pPr>
              <w:pStyle w:val="BodyText"/>
              <w:spacing w:before="60" w:after="60"/>
              <w:ind w:left="57" w:right="57" w:firstLine="0"/>
              <w:rPr>
                <w:sz w:val="20"/>
              </w:rPr>
            </w:pPr>
            <w:r w:rsidRPr="009070C8">
              <w:rPr>
                <w:sz w:val="20"/>
              </w:rPr>
              <w:t>INN</w:t>
            </w:r>
          </w:p>
        </w:tc>
        <w:tc>
          <w:tcPr>
            <w:tcW w:w="6576" w:type="dxa"/>
          </w:tcPr>
          <w:p w14:paraId="59FE1B66" w14:textId="77777777" w:rsidR="00047009" w:rsidRPr="009070C8" w:rsidRDefault="00047009" w:rsidP="00047009">
            <w:pPr>
              <w:pStyle w:val="BodyText"/>
              <w:spacing w:before="60" w:after="60"/>
              <w:ind w:left="57" w:right="57" w:firstLine="0"/>
              <w:rPr>
                <w:sz w:val="20"/>
              </w:rPr>
            </w:pPr>
            <w:r w:rsidRPr="009070C8">
              <w:rPr>
                <w:sz w:val="20"/>
              </w:rPr>
              <w:t>International Non-Proprietary Name</w:t>
            </w:r>
            <w:r w:rsidR="008E4A7F">
              <w:rPr>
                <w:sz w:val="20"/>
              </w:rPr>
              <w:t>.</w:t>
            </w:r>
            <w:r w:rsidRPr="009070C8">
              <w:rPr>
                <w:sz w:val="20"/>
              </w:rPr>
              <w:t xml:space="preserve"> </w:t>
            </w:r>
          </w:p>
        </w:tc>
      </w:tr>
      <w:tr w:rsidR="00623AAB" w:rsidRPr="002266EB" w14:paraId="053845A6" w14:textId="77777777" w:rsidTr="00623AAB">
        <w:trPr>
          <w:cantSplit/>
        </w:trPr>
        <w:tc>
          <w:tcPr>
            <w:tcW w:w="2494" w:type="dxa"/>
          </w:tcPr>
          <w:p w14:paraId="0C07ABC9" w14:textId="77777777" w:rsidR="00623AAB" w:rsidRPr="009070C8" w:rsidRDefault="00623AAB" w:rsidP="00623AAB">
            <w:pPr>
              <w:pStyle w:val="BodyText"/>
              <w:spacing w:before="60" w:after="60"/>
              <w:ind w:left="57" w:right="57" w:firstLine="0"/>
              <w:rPr>
                <w:sz w:val="20"/>
              </w:rPr>
            </w:pPr>
            <w:r>
              <w:rPr>
                <w:sz w:val="20"/>
              </w:rPr>
              <w:t>LEMI</w:t>
            </w:r>
          </w:p>
        </w:tc>
        <w:tc>
          <w:tcPr>
            <w:tcW w:w="6576" w:type="dxa"/>
            <w:vAlign w:val="center"/>
          </w:tcPr>
          <w:p w14:paraId="1D55F22C" w14:textId="77777777" w:rsidR="00623AAB" w:rsidRPr="009070C8" w:rsidRDefault="00623AAB" w:rsidP="00623AAB">
            <w:pPr>
              <w:pStyle w:val="BodyText"/>
              <w:spacing w:before="60" w:after="60"/>
              <w:ind w:left="57" w:right="57" w:firstLine="0"/>
              <w:rPr>
                <w:sz w:val="20"/>
              </w:rPr>
            </w:pPr>
            <w:r>
              <w:rPr>
                <w:sz w:val="20"/>
              </w:rPr>
              <w:t>List of Excluded Medicinal Items.</w:t>
            </w:r>
          </w:p>
        </w:tc>
      </w:tr>
      <w:tr w:rsidR="00623AAB" w:rsidRPr="002266EB" w14:paraId="123025BD" w14:textId="77777777" w:rsidTr="00623AAB">
        <w:trPr>
          <w:cnfStyle w:val="000000100000" w:firstRow="0" w:lastRow="0" w:firstColumn="0" w:lastColumn="0" w:oddVBand="0" w:evenVBand="0" w:oddHBand="1" w:evenHBand="0" w:firstRowFirstColumn="0" w:firstRowLastColumn="0" w:lastRowFirstColumn="0" w:lastRowLastColumn="0"/>
          <w:cantSplit/>
        </w:trPr>
        <w:tc>
          <w:tcPr>
            <w:tcW w:w="2494" w:type="dxa"/>
          </w:tcPr>
          <w:p w14:paraId="5AD4A59A" w14:textId="77777777" w:rsidR="00623AAB" w:rsidRPr="009070C8" w:rsidRDefault="00623AAB" w:rsidP="00623AAB">
            <w:pPr>
              <w:pStyle w:val="BodyText"/>
              <w:spacing w:before="60" w:after="60"/>
              <w:ind w:left="57" w:right="57" w:firstLine="0"/>
              <w:rPr>
                <w:sz w:val="20"/>
              </w:rPr>
            </w:pPr>
            <w:r>
              <w:rPr>
                <w:sz w:val="20"/>
              </w:rPr>
              <w:t>LMBC</w:t>
            </w:r>
          </w:p>
        </w:tc>
        <w:tc>
          <w:tcPr>
            <w:tcW w:w="6576" w:type="dxa"/>
            <w:vAlign w:val="center"/>
          </w:tcPr>
          <w:p w14:paraId="2AE1FCE8" w14:textId="77777777" w:rsidR="00623AAB" w:rsidRDefault="00623AAB" w:rsidP="00623AAB">
            <w:pPr>
              <w:pStyle w:val="BodyText"/>
              <w:spacing w:before="60" w:after="60"/>
              <w:ind w:left="57" w:right="57" w:firstLine="0"/>
              <w:rPr>
                <w:sz w:val="20"/>
              </w:rPr>
            </w:pPr>
            <w:bookmarkStart w:id="8" w:name="_Hlk33024388"/>
            <w:r w:rsidRPr="00A31DB9">
              <w:rPr>
                <w:sz w:val="20"/>
              </w:rPr>
              <w:t xml:space="preserve">List of </w:t>
            </w:r>
            <w:r>
              <w:rPr>
                <w:sz w:val="20"/>
              </w:rPr>
              <w:t>Medicines for Brand Consideration</w:t>
            </w:r>
            <w:bookmarkEnd w:id="8"/>
            <w:r w:rsidRPr="009070C8">
              <w:rPr>
                <w:sz w:val="20"/>
              </w:rPr>
              <w:t>.</w:t>
            </w:r>
          </w:p>
          <w:p w14:paraId="3AB022B4" w14:textId="7A691BA4" w:rsidR="00A34845" w:rsidRPr="009070C8" w:rsidRDefault="00A34845" w:rsidP="00D0000E">
            <w:pPr>
              <w:pStyle w:val="BodyText"/>
              <w:spacing w:before="60" w:after="60"/>
              <w:ind w:left="57" w:right="57" w:firstLine="0"/>
              <w:rPr>
                <w:sz w:val="20"/>
              </w:rPr>
            </w:pPr>
            <w:r>
              <w:rPr>
                <w:sz w:val="20"/>
              </w:rPr>
              <w:t>(</w:t>
            </w:r>
            <w:r w:rsidR="00D0000E">
              <w:rPr>
                <w:sz w:val="20"/>
              </w:rPr>
              <w:t>Previously known as</w:t>
            </w:r>
            <w:r>
              <w:rPr>
                <w:sz w:val="20"/>
              </w:rPr>
              <w:t xml:space="preserve"> R</w:t>
            </w:r>
            <w:r w:rsidR="00D0000E">
              <w:rPr>
                <w:sz w:val="20"/>
              </w:rPr>
              <w:t xml:space="preserve">ecommended </w:t>
            </w:r>
            <w:r>
              <w:rPr>
                <w:sz w:val="20"/>
              </w:rPr>
              <w:t>L</w:t>
            </w:r>
            <w:r w:rsidR="00D0000E">
              <w:rPr>
                <w:sz w:val="20"/>
              </w:rPr>
              <w:t xml:space="preserve">ist of </w:t>
            </w:r>
            <w:r>
              <w:rPr>
                <w:sz w:val="20"/>
              </w:rPr>
              <w:t>D</w:t>
            </w:r>
            <w:r w:rsidR="00D0000E">
              <w:rPr>
                <w:sz w:val="20"/>
              </w:rPr>
              <w:t xml:space="preserve">rugs for </w:t>
            </w:r>
            <w:r>
              <w:rPr>
                <w:sz w:val="20"/>
              </w:rPr>
              <w:t>B</w:t>
            </w:r>
            <w:r w:rsidR="00D0000E">
              <w:rPr>
                <w:sz w:val="20"/>
              </w:rPr>
              <w:t xml:space="preserve">rand </w:t>
            </w:r>
            <w:r>
              <w:rPr>
                <w:sz w:val="20"/>
              </w:rPr>
              <w:t>I</w:t>
            </w:r>
            <w:r w:rsidR="00D0000E">
              <w:rPr>
                <w:sz w:val="20"/>
              </w:rPr>
              <w:t>nclusion)</w:t>
            </w:r>
          </w:p>
        </w:tc>
      </w:tr>
      <w:tr w:rsidR="00047009" w:rsidRPr="002266EB" w14:paraId="1645E17B" w14:textId="77777777" w:rsidTr="00942376">
        <w:trPr>
          <w:cantSplit/>
        </w:trPr>
        <w:tc>
          <w:tcPr>
            <w:tcW w:w="2494" w:type="dxa"/>
          </w:tcPr>
          <w:p w14:paraId="5C248F09" w14:textId="77777777" w:rsidR="00047009" w:rsidRPr="009070C8" w:rsidRDefault="00047009" w:rsidP="00047009">
            <w:pPr>
              <w:pStyle w:val="BodyText"/>
              <w:spacing w:before="60" w:after="60"/>
              <w:ind w:left="57" w:right="57" w:firstLine="0"/>
              <w:rPr>
                <w:sz w:val="20"/>
              </w:rPr>
            </w:pPr>
            <w:r w:rsidRPr="009070C8">
              <w:rPr>
                <w:sz w:val="20"/>
              </w:rPr>
              <w:t>MA</w:t>
            </w:r>
          </w:p>
        </w:tc>
        <w:tc>
          <w:tcPr>
            <w:tcW w:w="6576" w:type="dxa"/>
          </w:tcPr>
          <w:p w14:paraId="01904223" w14:textId="77777777" w:rsidR="00047009" w:rsidRPr="009070C8" w:rsidRDefault="00047009" w:rsidP="00047009">
            <w:pPr>
              <w:pStyle w:val="BodyText"/>
              <w:spacing w:before="60" w:after="60"/>
              <w:ind w:left="57" w:right="57" w:firstLine="0"/>
              <w:rPr>
                <w:sz w:val="20"/>
              </w:rPr>
            </w:pPr>
            <w:r w:rsidRPr="009070C8">
              <w:rPr>
                <w:sz w:val="20"/>
              </w:rPr>
              <w:t>Medicines Australia.</w:t>
            </w:r>
          </w:p>
        </w:tc>
      </w:tr>
      <w:tr w:rsidR="00047009" w:rsidRPr="002266EB" w14:paraId="088C8FB7"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11E7D7F8" w14:textId="77777777" w:rsidR="00047009" w:rsidRPr="009070C8" w:rsidRDefault="00047009" w:rsidP="00047009">
            <w:pPr>
              <w:pStyle w:val="BodyText"/>
              <w:spacing w:before="60" w:after="60"/>
              <w:ind w:left="57" w:right="57" w:firstLine="0"/>
              <w:rPr>
                <w:sz w:val="20"/>
              </w:rPr>
            </w:pPr>
            <w:r w:rsidRPr="009070C8">
              <w:rPr>
                <w:sz w:val="20"/>
              </w:rPr>
              <w:t>Medicinal items</w:t>
            </w:r>
          </w:p>
        </w:tc>
        <w:tc>
          <w:tcPr>
            <w:tcW w:w="6576" w:type="dxa"/>
          </w:tcPr>
          <w:p w14:paraId="0655117D" w14:textId="77777777" w:rsidR="00047009" w:rsidRPr="009070C8" w:rsidRDefault="00047009" w:rsidP="00047009">
            <w:pPr>
              <w:pStyle w:val="BodyText"/>
              <w:spacing w:before="60" w:after="60"/>
              <w:ind w:left="57" w:right="57" w:firstLine="0"/>
              <w:rPr>
                <w:sz w:val="20"/>
              </w:rPr>
            </w:pPr>
            <w:r w:rsidRPr="009070C8">
              <w:rPr>
                <w:sz w:val="20"/>
              </w:rPr>
              <w:t>Drugs within the scope of this initiative excluding bandages, dressings, diagnostic tools, food supplements and vitamin supplements.</w:t>
            </w:r>
          </w:p>
        </w:tc>
      </w:tr>
      <w:tr w:rsidR="008E4A7F" w:rsidRPr="002266EB" w14:paraId="22DDB616" w14:textId="77777777" w:rsidTr="00942376">
        <w:trPr>
          <w:cantSplit/>
        </w:trPr>
        <w:tc>
          <w:tcPr>
            <w:tcW w:w="2494" w:type="dxa"/>
          </w:tcPr>
          <w:p w14:paraId="13720A28" w14:textId="77777777" w:rsidR="008E4A7F" w:rsidRPr="009070C8" w:rsidRDefault="008E4A7F" w:rsidP="008E4A7F">
            <w:pPr>
              <w:pStyle w:val="BodyText"/>
              <w:spacing w:before="60" w:after="60"/>
              <w:ind w:left="447" w:right="57"/>
              <w:rPr>
                <w:sz w:val="20"/>
              </w:rPr>
            </w:pPr>
            <w:r>
              <w:rPr>
                <w:sz w:val="20"/>
              </w:rPr>
              <w:t>MPP</w:t>
            </w:r>
          </w:p>
        </w:tc>
        <w:tc>
          <w:tcPr>
            <w:tcW w:w="6576" w:type="dxa"/>
          </w:tcPr>
          <w:p w14:paraId="18FC51E0" w14:textId="77777777" w:rsidR="008E4A7F" w:rsidRPr="009070C8" w:rsidRDefault="008E4A7F" w:rsidP="008E4A7F">
            <w:pPr>
              <w:pStyle w:val="BodyText"/>
              <w:spacing w:before="60" w:after="60"/>
              <w:ind w:left="84" w:right="57" w:firstLine="0"/>
              <w:rPr>
                <w:sz w:val="20"/>
              </w:rPr>
            </w:pPr>
            <w:r>
              <w:rPr>
                <w:sz w:val="20"/>
              </w:rPr>
              <w:t>Medicinal Product Pack refers to a medicine’s active ingredient, dose, form, strength and pack size.</w:t>
            </w:r>
          </w:p>
        </w:tc>
      </w:tr>
      <w:tr w:rsidR="00047009" w:rsidRPr="002266EB" w14:paraId="0079B852"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2E9F3290" w14:textId="77777777" w:rsidR="00047009" w:rsidRPr="009070C8" w:rsidRDefault="00047009" w:rsidP="00047009">
            <w:pPr>
              <w:pStyle w:val="BodyText"/>
              <w:spacing w:before="60" w:after="60"/>
              <w:ind w:left="57" w:right="57" w:firstLine="0"/>
              <w:rPr>
                <w:sz w:val="20"/>
              </w:rPr>
            </w:pPr>
            <w:r w:rsidRPr="009070C8">
              <w:rPr>
                <w:sz w:val="20"/>
              </w:rPr>
              <w:t>MSIA</w:t>
            </w:r>
          </w:p>
        </w:tc>
        <w:tc>
          <w:tcPr>
            <w:tcW w:w="6576" w:type="dxa"/>
          </w:tcPr>
          <w:p w14:paraId="2C6381DD" w14:textId="77777777" w:rsidR="00047009" w:rsidRPr="009070C8" w:rsidRDefault="00047009" w:rsidP="00047009">
            <w:pPr>
              <w:pStyle w:val="BodyText"/>
              <w:spacing w:before="60" w:after="60"/>
              <w:ind w:left="57" w:right="57" w:firstLine="0"/>
              <w:rPr>
                <w:sz w:val="20"/>
              </w:rPr>
            </w:pPr>
            <w:r w:rsidRPr="009070C8">
              <w:rPr>
                <w:sz w:val="20"/>
              </w:rPr>
              <w:t>Medical Software Industry Association Inc.</w:t>
            </w:r>
          </w:p>
        </w:tc>
      </w:tr>
      <w:tr w:rsidR="00047009" w:rsidRPr="002266EB" w14:paraId="7C50FAC2" w14:textId="77777777" w:rsidTr="00942376">
        <w:trPr>
          <w:cantSplit/>
        </w:trPr>
        <w:tc>
          <w:tcPr>
            <w:tcW w:w="2494" w:type="dxa"/>
          </w:tcPr>
          <w:p w14:paraId="58A0C005" w14:textId="77777777" w:rsidR="00047009" w:rsidRPr="009070C8" w:rsidRDefault="00047009" w:rsidP="00047009">
            <w:pPr>
              <w:pStyle w:val="BodyText"/>
              <w:spacing w:before="60" w:after="60"/>
              <w:ind w:left="57" w:right="57" w:firstLine="0"/>
              <w:rPr>
                <w:sz w:val="20"/>
              </w:rPr>
            </w:pPr>
            <w:r w:rsidRPr="009070C8">
              <w:rPr>
                <w:sz w:val="20"/>
              </w:rPr>
              <w:t>NCTS</w:t>
            </w:r>
          </w:p>
        </w:tc>
        <w:tc>
          <w:tcPr>
            <w:tcW w:w="6576" w:type="dxa"/>
          </w:tcPr>
          <w:p w14:paraId="29F3780B" w14:textId="77777777" w:rsidR="00047009" w:rsidRPr="009070C8" w:rsidRDefault="00047009" w:rsidP="00047009">
            <w:pPr>
              <w:pStyle w:val="BodyText"/>
              <w:spacing w:before="60" w:after="60"/>
              <w:ind w:left="57" w:right="57" w:firstLine="0"/>
              <w:rPr>
                <w:sz w:val="20"/>
              </w:rPr>
            </w:pPr>
            <w:r w:rsidRPr="009070C8">
              <w:rPr>
                <w:sz w:val="20"/>
              </w:rPr>
              <w:t>The National Clinical Terminology Service.</w:t>
            </w:r>
          </w:p>
        </w:tc>
      </w:tr>
      <w:tr w:rsidR="00047009" w:rsidRPr="002266EB" w14:paraId="4C2013D9"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49B0F098" w14:textId="77777777" w:rsidR="00047009" w:rsidRPr="009070C8" w:rsidRDefault="00047009" w:rsidP="00047009">
            <w:pPr>
              <w:pStyle w:val="BodyText"/>
              <w:spacing w:before="60" w:after="60"/>
              <w:ind w:left="57" w:right="57" w:firstLine="0"/>
              <w:rPr>
                <w:sz w:val="20"/>
              </w:rPr>
            </w:pPr>
            <w:r w:rsidRPr="009070C8">
              <w:rPr>
                <w:sz w:val="20"/>
              </w:rPr>
              <w:t>NPS MedicineWise</w:t>
            </w:r>
          </w:p>
        </w:tc>
        <w:tc>
          <w:tcPr>
            <w:tcW w:w="6576" w:type="dxa"/>
          </w:tcPr>
          <w:p w14:paraId="240AC479" w14:textId="77777777" w:rsidR="00047009" w:rsidRPr="009070C8" w:rsidRDefault="00047009" w:rsidP="00047009">
            <w:pPr>
              <w:pStyle w:val="BodyText"/>
              <w:spacing w:before="60" w:after="60"/>
              <w:ind w:left="57" w:right="57" w:firstLine="0"/>
              <w:rPr>
                <w:sz w:val="20"/>
              </w:rPr>
            </w:pPr>
            <w:r w:rsidRPr="009070C8">
              <w:rPr>
                <w:sz w:val="20"/>
              </w:rPr>
              <w:t>National Prescribing Service MedicineWise.</w:t>
            </w:r>
          </w:p>
        </w:tc>
      </w:tr>
      <w:tr w:rsidR="00047009" w:rsidRPr="002266EB" w14:paraId="10FC9B9D" w14:textId="77777777" w:rsidTr="00942376">
        <w:trPr>
          <w:cantSplit/>
        </w:trPr>
        <w:tc>
          <w:tcPr>
            <w:tcW w:w="2494" w:type="dxa"/>
          </w:tcPr>
          <w:p w14:paraId="05A64706" w14:textId="77777777" w:rsidR="00047009" w:rsidRPr="009070C8" w:rsidRDefault="00047009" w:rsidP="00047009">
            <w:pPr>
              <w:pStyle w:val="BodyText"/>
              <w:spacing w:before="60" w:after="60"/>
              <w:ind w:left="57" w:right="57" w:firstLine="0"/>
              <w:rPr>
                <w:sz w:val="20"/>
              </w:rPr>
            </w:pPr>
            <w:r w:rsidRPr="009070C8">
              <w:rPr>
                <w:sz w:val="20"/>
              </w:rPr>
              <w:t>Originator Pharmaceutical Product</w:t>
            </w:r>
          </w:p>
        </w:tc>
        <w:tc>
          <w:tcPr>
            <w:tcW w:w="6576" w:type="dxa"/>
          </w:tcPr>
          <w:p w14:paraId="56FF66D4" w14:textId="77777777" w:rsidR="00047009" w:rsidRPr="009070C8" w:rsidRDefault="00047009" w:rsidP="00047009">
            <w:pPr>
              <w:pStyle w:val="BodyText"/>
              <w:spacing w:before="60" w:after="60"/>
              <w:ind w:left="57" w:right="57" w:firstLine="0"/>
              <w:rPr>
                <w:sz w:val="20"/>
              </w:rPr>
            </w:pPr>
            <w:r w:rsidRPr="009070C8">
              <w:rPr>
                <w:sz w:val="20"/>
              </w:rPr>
              <w:t>The product that was first authorized worldwide for marketing (normally as a patented product) on the basis of the documentation of its efficacy, safety, and quality according to requirements at the time of authorization.</w:t>
            </w:r>
          </w:p>
          <w:p w14:paraId="1F18AEF4" w14:textId="77777777" w:rsidR="00047009" w:rsidRPr="009070C8" w:rsidRDefault="00047009" w:rsidP="00047009">
            <w:pPr>
              <w:pStyle w:val="BodyText"/>
              <w:spacing w:before="60" w:after="60"/>
              <w:ind w:left="57" w:right="57" w:firstLine="0"/>
              <w:rPr>
                <w:sz w:val="20"/>
              </w:rPr>
            </w:pPr>
            <w:r w:rsidRPr="009070C8">
              <w:rPr>
                <w:sz w:val="20"/>
              </w:rPr>
              <w:t>Known also as "F1 Medicine".</w:t>
            </w:r>
          </w:p>
        </w:tc>
      </w:tr>
      <w:tr w:rsidR="00047009" w:rsidRPr="002266EB" w14:paraId="3B7D18D3"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45EA88C3" w14:textId="77777777" w:rsidR="00047009" w:rsidRPr="009070C8" w:rsidRDefault="00047009" w:rsidP="00047009">
            <w:pPr>
              <w:pStyle w:val="BodyText"/>
              <w:spacing w:before="60" w:after="60"/>
              <w:ind w:left="57" w:right="57" w:firstLine="0"/>
              <w:rPr>
                <w:b/>
                <w:sz w:val="20"/>
              </w:rPr>
            </w:pPr>
            <w:r w:rsidRPr="009070C8">
              <w:rPr>
                <w:sz w:val="20"/>
              </w:rPr>
              <w:lastRenderedPageBreak/>
              <w:t>PBS</w:t>
            </w:r>
          </w:p>
        </w:tc>
        <w:tc>
          <w:tcPr>
            <w:tcW w:w="6576" w:type="dxa"/>
          </w:tcPr>
          <w:p w14:paraId="518D798E" w14:textId="77777777" w:rsidR="00047009" w:rsidRPr="009070C8" w:rsidRDefault="00047009" w:rsidP="00047009">
            <w:pPr>
              <w:pStyle w:val="BodyText"/>
              <w:spacing w:before="60" w:after="60"/>
              <w:ind w:left="57" w:right="57" w:firstLine="0"/>
              <w:rPr>
                <w:sz w:val="20"/>
              </w:rPr>
            </w:pPr>
            <w:r w:rsidRPr="009070C8">
              <w:rPr>
                <w:sz w:val="20"/>
              </w:rPr>
              <w:t>The Pharmaceutical Benefits Scheme</w:t>
            </w:r>
            <w:r w:rsidRPr="009070C8">
              <w:rPr>
                <w:rStyle w:val="FootnoteReference"/>
                <w:bCs/>
                <w:sz w:val="20"/>
              </w:rPr>
              <w:footnoteReference w:id="3"/>
            </w:r>
            <w:r w:rsidRPr="009070C8">
              <w:rPr>
                <w:sz w:val="20"/>
              </w:rPr>
              <w:t>.</w:t>
            </w:r>
          </w:p>
        </w:tc>
      </w:tr>
      <w:tr w:rsidR="00047009" w:rsidRPr="002266EB" w14:paraId="3A84DA38" w14:textId="77777777" w:rsidTr="00942376">
        <w:trPr>
          <w:cantSplit/>
        </w:trPr>
        <w:tc>
          <w:tcPr>
            <w:tcW w:w="2494" w:type="dxa"/>
          </w:tcPr>
          <w:p w14:paraId="492E2121" w14:textId="77777777" w:rsidR="00047009" w:rsidRPr="009070C8" w:rsidRDefault="00047009" w:rsidP="00047009">
            <w:pPr>
              <w:pStyle w:val="BodyText"/>
              <w:spacing w:before="60" w:after="60"/>
              <w:ind w:left="57" w:right="57" w:firstLine="0"/>
              <w:rPr>
                <w:b/>
                <w:sz w:val="20"/>
              </w:rPr>
            </w:pPr>
            <w:r w:rsidRPr="009070C8">
              <w:rPr>
                <w:sz w:val="20"/>
              </w:rPr>
              <w:t>PDS</w:t>
            </w:r>
          </w:p>
        </w:tc>
        <w:tc>
          <w:tcPr>
            <w:tcW w:w="6576" w:type="dxa"/>
          </w:tcPr>
          <w:p w14:paraId="09B9DDF6" w14:textId="77777777" w:rsidR="00047009" w:rsidRPr="009070C8" w:rsidRDefault="00047009" w:rsidP="00047009">
            <w:pPr>
              <w:pStyle w:val="BodyText"/>
              <w:spacing w:before="60" w:after="60"/>
              <w:ind w:left="57" w:right="57" w:firstLine="0"/>
              <w:rPr>
                <w:sz w:val="20"/>
              </w:rPr>
            </w:pPr>
            <w:r w:rsidRPr="009070C8">
              <w:rPr>
                <w:sz w:val="20"/>
              </w:rPr>
              <w:t>Pharmacy Dispensing Software.</w:t>
            </w:r>
          </w:p>
        </w:tc>
      </w:tr>
      <w:tr w:rsidR="00CA60E2" w:rsidRPr="002266EB" w14:paraId="027BCDD6"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15B4647F" w14:textId="77777777" w:rsidR="00CA60E2" w:rsidRPr="009070C8" w:rsidRDefault="00CA60E2" w:rsidP="00CA60E2">
            <w:pPr>
              <w:pStyle w:val="BodyText"/>
              <w:spacing w:before="60" w:after="60"/>
              <w:ind w:left="57" w:right="57" w:firstLine="0"/>
              <w:rPr>
                <w:sz w:val="20"/>
              </w:rPr>
            </w:pPr>
            <w:r>
              <w:rPr>
                <w:sz w:val="20"/>
              </w:rPr>
              <w:t>PES</w:t>
            </w:r>
          </w:p>
        </w:tc>
        <w:tc>
          <w:tcPr>
            <w:tcW w:w="6576" w:type="dxa"/>
          </w:tcPr>
          <w:p w14:paraId="448020EC" w14:textId="77777777" w:rsidR="00CA60E2" w:rsidRPr="009070C8" w:rsidRDefault="00CA60E2" w:rsidP="00CA60E2">
            <w:pPr>
              <w:pStyle w:val="BodyText"/>
              <w:spacing w:before="60" w:after="60"/>
              <w:ind w:left="57" w:right="57" w:firstLine="0"/>
              <w:rPr>
                <w:sz w:val="20"/>
              </w:rPr>
            </w:pPr>
            <w:r>
              <w:rPr>
                <w:sz w:val="20"/>
              </w:rPr>
              <w:t>Prescription Exchange Service</w:t>
            </w:r>
            <w:r w:rsidR="008E4A7F">
              <w:rPr>
                <w:sz w:val="20"/>
              </w:rPr>
              <w:t>.</w:t>
            </w:r>
          </w:p>
        </w:tc>
      </w:tr>
      <w:tr w:rsidR="00CA60E2" w:rsidRPr="002266EB" w14:paraId="086BA61E" w14:textId="77777777" w:rsidTr="00942376">
        <w:trPr>
          <w:cantSplit/>
        </w:trPr>
        <w:tc>
          <w:tcPr>
            <w:tcW w:w="2494" w:type="dxa"/>
          </w:tcPr>
          <w:p w14:paraId="629444E2" w14:textId="77777777" w:rsidR="00CA60E2" w:rsidRPr="009070C8" w:rsidRDefault="00CA60E2" w:rsidP="00CA60E2">
            <w:pPr>
              <w:pStyle w:val="BodyText"/>
              <w:spacing w:before="60" w:after="60"/>
              <w:ind w:left="57" w:right="57" w:firstLine="0"/>
              <w:rPr>
                <w:sz w:val="20"/>
              </w:rPr>
            </w:pPr>
            <w:r w:rsidRPr="009070C8">
              <w:rPr>
                <w:sz w:val="20"/>
              </w:rPr>
              <w:t>PGA</w:t>
            </w:r>
          </w:p>
        </w:tc>
        <w:tc>
          <w:tcPr>
            <w:tcW w:w="6576" w:type="dxa"/>
          </w:tcPr>
          <w:p w14:paraId="6D239081" w14:textId="77777777" w:rsidR="00CA60E2" w:rsidRPr="009070C8" w:rsidRDefault="00CA60E2" w:rsidP="00CA60E2">
            <w:pPr>
              <w:pStyle w:val="BodyText"/>
              <w:spacing w:before="60" w:after="60"/>
              <w:ind w:left="57" w:right="57" w:firstLine="0"/>
              <w:rPr>
                <w:sz w:val="20"/>
              </w:rPr>
            </w:pPr>
            <w:r w:rsidRPr="009070C8">
              <w:rPr>
                <w:sz w:val="20"/>
              </w:rPr>
              <w:t>Pharmacy Guild of Australia.</w:t>
            </w:r>
          </w:p>
        </w:tc>
      </w:tr>
      <w:tr w:rsidR="00CA60E2" w:rsidRPr="002266EB" w14:paraId="0EB289AA"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24D08D1D" w14:textId="77777777" w:rsidR="00CA60E2" w:rsidRPr="009070C8" w:rsidRDefault="00CA60E2" w:rsidP="00CA60E2">
            <w:pPr>
              <w:pStyle w:val="BodyText"/>
              <w:spacing w:before="60" w:after="60"/>
              <w:ind w:left="57" w:right="57" w:firstLine="0"/>
              <w:rPr>
                <w:b/>
                <w:sz w:val="20"/>
              </w:rPr>
            </w:pPr>
            <w:r w:rsidRPr="009070C8">
              <w:rPr>
                <w:sz w:val="20"/>
              </w:rPr>
              <w:t>Pharmacist</w:t>
            </w:r>
          </w:p>
        </w:tc>
        <w:tc>
          <w:tcPr>
            <w:tcW w:w="6576" w:type="dxa"/>
          </w:tcPr>
          <w:p w14:paraId="6FC25E8F" w14:textId="77777777" w:rsidR="00CA60E2" w:rsidRPr="009070C8" w:rsidRDefault="00CA60E2" w:rsidP="00CA60E2">
            <w:pPr>
              <w:pStyle w:val="BodyText"/>
              <w:spacing w:before="60" w:after="60"/>
              <w:ind w:left="57" w:right="57" w:firstLine="0"/>
              <w:rPr>
                <w:sz w:val="20"/>
              </w:rPr>
            </w:pPr>
            <w:r w:rsidRPr="009070C8">
              <w:rPr>
                <w:sz w:val="20"/>
              </w:rPr>
              <w:t>A person who is registered as a pharmacist under the AHPRA, which in association with the Pharmacy Board of Australia has deemed that person to be a pharmacist.</w:t>
            </w:r>
          </w:p>
        </w:tc>
      </w:tr>
      <w:tr w:rsidR="00CA60E2" w:rsidRPr="002266EB" w14:paraId="34182604" w14:textId="77777777" w:rsidTr="00942376">
        <w:trPr>
          <w:cantSplit/>
        </w:trPr>
        <w:tc>
          <w:tcPr>
            <w:tcW w:w="2494" w:type="dxa"/>
          </w:tcPr>
          <w:p w14:paraId="72580005" w14:textId="77777777" w:rsidR="00CA60E2" w:rsidRPr="009070C8" w:rsidRDefault="00CA60E2" w:rsidP="00CA60E2">
            <w:pPr>
              <w:pStyle w:val="BodyText"/>
              <w:spacing w:before="60" w:after="60"/>
              <w:ind w:left="57" w:right="57" w:hanging="35"/>
              <w:rPr>
                <w:sz w:val="20"/>
              </w:rPr>
            </w:pPr>
            <w:r>
              <w:rPr>
                <w:sz w:val="20"/>
              </w:rPr>
              <w:t>PBAC</w:t>
            </w:r>
          </w:p>
        </w:tc>
        <w:tc>
          <w:tcPr>
            <w:tcW w:w="6576" w:type="dxa"/>
          </w:tcPr>
          <w:p w14:paraId="3505A1AC" w14:textId="77777777" w:rsidR="00CA60E2" w:rsidRPr="009070C8" w:rsidRDefault="00CA60E2" w:rsidP="00CA60E2">
            <w:pPr>
              <w:pStyle w:val="BodyText"/>
              <w:spacing w:before="60" w:after="60"/>
              <w:ind w:left="57" w:right="57" w:firstLine="27"/>
              <w:rPr>
                <w:sz w:val="20"/>
              </w:rPr>
            </w:pPr>
            <w:r w:rsidRPr="00117D66">
              <w:rPr>
                <w:sz w:val="20"/>
              </w:rPr>
              <w:t>Pharmaceutical Benefits Advisory Committee</w:t>
            </w:r>
            <w:r w:rsidRPr="009070C8">
              <w:rPr>
                <w:sz w:val="20"/>
              </w:rPr>
              <w:t>.</w:t>
            </w:r>
          </w:p>
        </w:tc>
      </w:tr>
      <w:tr w:rsidR="00CA60E2" w:rsidRPr="002266EB" w14:paraId="3F8BFDBE"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1D773BD3" w14:textId="77777777" w:rsidR="00CA60E2" w:rsidRPr="009070C8" w:rsidRDefault="00CA60E2" w:rsidP="00CA60E2">
            <w:pPr>
              <w:pStyle w:val="BodyText"/>
              <w:spacing w:before="60" w:after="60"/>
              <w:ind w:left="57" w:right="57" w:firstLine="0"/>
              <w:rPr>
                <w:sz w:val="20"/>
              </w:rPr>
            </w:pPr>
            <w:r w:rsidRPr="009070C8">
              <w:rPr>
                <w:sz w:val="20"/>
              </w:rPr>
              <w:t>PBS Prescriber</w:t>
            </w:r>
          </w:p>
        </w:tc>
        <w:tc>
          <w:tcPr>
            <w:tcW w:w="6576" w:type="dxa"/>
          </w:tcPr>
          <w:p w14:paraId="023ED55D" w14:textId="77777777" w:rsidR="00CA60E2" w:rsidRPr="009070C8" w:rsidRDefault="00CA60E2" w:rsidP="00CA60E2">
            <w:pPr>
              <w:pStyle w:val="BodyText"/>
              <w:spacing w:before="60" w:after="60"/>
              <w:ind w:left="57" w:right="57" w:firstLine="0"/>
              <w:rPr>
                <w:sz w:val="20"/>
              </w:rPr>
            </w:pPr>
            <w:r w:rsidRPr="009070C8">
              <w:rPr>
                <w:sz w:val="20"/>
              </w:rPr>
              <w:t>Doctors, dentists, optometrists, midwives and nurse practitioners who are approved to prescribe PBS</w:t>
            </w:r>
            <w:r>
              <w:rPr>
                <w:sz w:val="20"/>
              </w:rPr>
              <w:t>/RPBS</w:t>
            </w:r>
            <w:r w:rsidRPr="009070C8">
              <w:rPr>
                <w:sz w:val="20"/>
              </w:rPr>
              <w:t xml:space="preserve"> medicines under the </w:t>
            </w:r>
            <w:r w:rsidRPr="009070C8">
              <w:rPr>
                <w:i/>
                <w:iCs/>
                <w:sz w:val="20"/>
              </w:rPr>
              <w:t>National Health Act 1953</w:t>
            </w:r>
            <w:r w:rsidRPr="009070C8">
              <w:rPr>
                <w:sz w:val="20"/>
              </w:rPr>
              <w:t>.</w:t>
            </w:r>
          </w:p>
        </w:tc>
      </w:tr>
      <w:tr w:rsidR="00CA60E2" w:rsidRPr="002266EB" w14:paraId="02F9DFA5" w14:textId="77777777" w:rsidTr="00942376">
        <w:trPr>
          <w:cantSplit/>
        </w:trPr>
        <w:tc>
          <w:tcPr>
            <w:tcW w:w="2494" w:type="dxa"/>
          </w:tcPr>
          <w:p w14:paraId="78923B43" w14:textId="77777777" w:rsidR="00CA60E2" w:rsidRPr="009070C8" w:rsidRDefault="00CA60E2" w:rsidP="00CA60E2">
            <w:pPr>
              <w:pStyle w:val="BodyText"/>
              <w:spacing w:before="60" w:after="60"/>
              <w:ind w:left="57" w:right="57" w:firstLine="0"/>
              <w:rPr>
                <w:sz w:val="20"/>
              </w:rPr>
            </w:pPr>
            <w:r w:rsidRPr="009070C8">
              <w:rPr>
                <w:sz w:val="20"/>
              </w:rPr>
              <w:t>PSA</w:t>
            </w:r>
          </w:p>
        </w:tc>
        <w:tc>
          <w:tcPr>
            <w:tcW w:w="6576" w:type="dxa"/>
            <w:vAlign w:val="center"/>
          </w:tcPr>
          <w:p w14:paraId="1CF876FF" w14:textId="77777777" w:rsidR="00CA60E2" w:rsidRPr="009070C8" w:rsidRDefault="00CA60E2" w:rsidP="00CA60E2">
            <w:pPr>
              <w:pStyle w:val="BodyText"/>
              <w:spacing w:before="60" w:after="60"/>
              <w:ind w:left="57" w:right="57" w:firstLine="0"/>
              <w:rPr>
                <w:sz w:val="20"/>
              </w:rPr>
            </w:pPr>
            <w:r w:rsidRPr="009070C8">
              <w:rPr>
                <w:sz w:val="20"/>
              </w:rPr>
              <w:t>Pharmaceutical Society of Australia.</w:t>
            </w:r>
          </w:p>
        </w:tc>
      </w:tr>
      <w:tr w:rsidR="00CA60E2" w:rsidRPr="002266EB" w14:paraId="60E642D6"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47056999" w14:textId="77777777" w:rsidR="00CA60E2" w:rsidRPr="009070C8" w:rsidRDefault="00CA60E2" w:rsidP="00CA60E2">
            <w:pPr>
              <w:pStyle w:val="BodyText"/>
              <w:spacing w:before="60" w:after="60"/>
              <w:ind w:left="57" w:right="57" w:firstLine="0"/>
              <w:rPr>
                <w:sz w:val="20"/>
              </w:rPr>
            </w:pPr>
            <w:r w:rsidRPr="009070C8">
              <w:rPr>
                <w:sz w:val="20"/>
              </w:rPr>
              <w:t>RACGP</w:t>
            </w:r>
          </w:p>
        </w:tc>
        <w:tc>
          <w:tcPr>
            <w:tcW w:w="6576" w:type="dxa"/>
            <w:vAlign w:val="center"/>
          </w:tcPr>
          <w:p w14:paraId="35B0F651" w14:textId="77777777" w:rsidR="00CA60E2" w:rsidRPr="009070C8" w:rsidRDefault="00CA60E2" w:rsidP="00CA60E2">
            <w:pPr>
              <w:pStyle w:val="BodyText"/>
              <w:spacing w:before="60" w:after="60"/>
              <w:ind w:left="57" w:right="57" w:firstLine="0"/>
              <w:rPr>
                <w:sz w:val="20"/>
              </w:rPr>
            </w:pPr>
            <w:r w:rsidRPr="009070C8">
              <w:rPr>
                <w:sz w:val="20"/>
              </w:rPr>
              <w:t>Royal Australian College of General Practitioners.</w:t>
            </w:r>
          </w:p>
        </w:tc>
      </w:tr>
      <w:tr w:rsidR="00CA60E2" w:rsidRPr="002266EB" w14:paraId="67D801E6" w14:textId="77777777" w:rsidTr="00942376">
        <w:trPr>
          <w:cantSplit/>
        </w:trPr>
        <w:tc>
          <w:tcPr>
            <w:tcW w:w="2494" w:type="dxa"/>
          </w:tcPr>
          <w:p w14:paraId="7C9EFB88" w14:textId="77777777" w:rsidR="00CA60E2" w:rsidRPr="009070C8" w:rsidRDefault="00CA60E2" w:rsidP="00CA60E2">
            <w:pPr>
              <w:pStyle w:val="BodyText"/>
              <w:spacing w:before="60" w:after="60"/>
              <w:ind w:left="414" w:right="57"/>
              <w:rPr>
                <w:sz w:val="20"/>
              </w:rPr>
            </w:pPr>
            <w:r>
              <w:rPr>
                <w:sz w:val="20"/>
              </w:rPr>
              <w:t>RPBS</w:t>
            </w:r>
          </w:p>
        </w:tc>
        <w:tc>
          <w:tcPr>
            <w:tcW w:w="6576" w:type="dxa"/>
            <w:vAlign w:val="center"/>
          </w:tcPr>
          <w:p w14:paraId="7A2490E8" w14:textId="77777777" w:rsidR="00CA60E2" w:rsidRPr="009070C8" w:rsidRDefault="00CA60E2" w:rsidP="00CA60E2">
            <w:pPr>
              <w:pStyle w:val="BodyText"/>
              <w:spacing w:before="60" w:after="60"/>
              <w:ind w:left="57" w:right="57" w:firstLine="0"/>
              <w:rPr>
                <w:sz w:val="20"/>
              </w:rPr>
            </w:pPr>
            <w:r w:rsidRPr="00196847">
              <w:rPr>
                <w:sz w:val="20"/>
              </w:rPr>
              <w:t>Repatriation Pharmaceutical Benefits Scheme</w:t>
            </w:r>
            <w:r w:rsidR="008E4A7F">
              <w:rPr>
                <w:sz w:val="20"/>
              </w:rPr>
              <w:t>.</w:t>
            </w:r>
          </w:p>
        </w:tc>
      </w:tr>
      <w:tr w:rsidR="00CA60E2" w:rsidRPr="002266EB" w14:paraId="1BF339A1"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64CDCADD" w14:textId="77777777" w:rsidR="00CA60E2" w:rsidRPr="009070C8" w:rsidRDefault="00CA60E2" w:rsidP="00CA60E2">
            <w:pPr>
              <w:pStyle w:val="BodyText"/>
              <w:spacing w:before="60" w:after="60"/>
              <w:ind w:left="57" w:right="57" w:firstLine="0"/>
              <w:rPr>
                <w:sz w:val="20"/>
              </w:rPr>
            </w:pPr>
            <w:r w:rsidRPr="009070C8">
              <w:rPr>
                <w:sz w:val="20"/>
              </w:rPr>
              <w:t>SHPA</w:t>
            </w:r>
          </w:p>
        </w:tc>
        <w:tc>
          <w:tcPr>
            <w:tcW w:w="6576" w:type="dxa"/>
            <w:vAlign w:val="center"/>
          </w:tcPr>
          <w:p w14:paraId="45EC7938" w14:textId="77777777" w:rsidR="00CA60E2" w:rsidRPr="009070C8" w:rsidRDefault="00CA60E2" w:rsidP="00CA60E2">
            <w:pPr>
              <w:pStyle w:val="BodyText"/>
              <w:spacing w:before="60" w:after="60"/>
              <w:ind w:left="57" w:right="57" w:firstLine="0"/>
              <w:rPr>
                <w:sz w:val="20"/>
              </w:rPr>
            </w:pPr>
            <w:r w:rsidRPr="009070C8">
              <w:rPr>
                <w:sz w:val="20"/>
              </w:rPr>
              <w:t>Society of Hospital Pharmacists of Australia.</w:t>
            </w:r>
          </w:p>
        </w:tc>
      </w:tr>
      <w:tr w:rsidR="00CA60E2" w:rsidRPr="002266EB" w14:paraId="6149E4F4" w14:textId="77777777" w:rsidTr="00942376">
        <w:trPr>
          <w:cantSplit/>
        </w:trPr>
        <w:tc>
          <w:tcPr>
            <w:tcW w:w="2494" w:type="dxa"/>
          </w:tcPr>
          <w:p w14:paraId="5CF6989F" w14:textId="77777777" w:rsidR="00CA60E2" w:rsidRPr="009070C8" w:rsidRDefault="00CA60E2" w:rsidP="00CA60E2">
            <w:pPr>
              <w:pStyle w:val="BodyText"/>
              <w:spacing w:before="60" w:after="60"/>
              <w:ind w:left="57" w:right="57" w:firstLine="0"/>
              <w:rPr>
                <w:sz w:val="20"/>
              </w:rPr>
            </w:pPr>
            <w:r w:rsidRPr="009070C8">
              <w:rPr>
                <w:sz w:val="20"/>
              </w:rPr>
              <w:t>TGA</w:t>
            </w:r>
          </w:p>
        </w:tc>
        <w:tc>
          <w:tcPr>
            <w:tcW w:w="6576" w:type="dxa"/>
            <w:vAlign w:val="center"/>
          </w:tcPr>
          <w:p w14:paraId="7B4A025F" w14:textId="77777777" w:rsidR="00CA60E2" w:rsidRPr="009070C8" w:rsidRDefault="00CA60E2" w:rsidP="00CA60E2">
            <w:pPr>
              <w:pStyle w:val="BodyText"/>
              <w:spacing w:before="60" w:after="60"/>
              <w:ind w:left="57" w:right="57" w:firstLine="0"/>
              <w:rPr>
                <w:sz w:val="20"/>
              </w:rPr>
            </w:pPr>
            <w:r w:rsidRPr="009070C8">
              <w:rPr>
                <w:sz w:val="20"/>
              </w:rPr>
              <w:t>Therapeutic Goods Administration.</w:t>
            </w:r>
          </w:p>
        </w:tc>
      </w:tr>
      <w:tr w:rsidR="00CA60E2" w:rsidRPr="002266EB" w14:paraId="4119990D" w14:textId="77777777" w:rsidTr="00942376">
        <w:trPr>
          <w:cnfStyle w:val="000000100000" w:firstRow="0" w:lastRow="0" w:firstColumn="0" w:lastColumn="0" w:oddVBand="0" w:evenVBand="0" w:oddHBand="1" w:evenHBand="0" w:firstRowFirstColumn="0" w:firstRowLastColumn="0" w:lastRowFirstColumn="0" w:lastRowLastColumn="0"/>
          <w:cantSplit/>
        </w:trPr>
        <w:tc>
          <w:tcPr>
            <w:tcW w:w="2494" w:type="dxa"/>
          </w:tcPr>
          <w:p w14:paraId="6AE15AF3" w14:textId="77777777" w:rsidR="00CA60E2" w:rsidRPr="009070C8" w:rsidRDefault="00CA60E2" w:rsidP="00CA60E2">
            <w:pPr>
              <w:pStyle w:val="BodyText"/>
              <w:spacing w:before="60" w:after="60"/>
              <w:ind w:left="57" w:right="57" w:firstLine="0"/>
              <w:rPr>
                <w:sz w:val="20"/>
              </w:rPr>
            </w:pPr>
            <w:r w:rsidRPr="009070C8">
              <w:rPr>
                <w:sz w:val="20"/>
              </w:rPr>
              <w:t>VRD</w:t>
            </w:r>
          </w:p>
        </w:tc>
        <w:tc>
          <w:tcPr>
            <w:tcW w:w="6576" w:type="dxa"/>
          </w:tcPr>
          <w:p w14:paraId="626B1536" w14:textId="77777777" w:rsidR="00CA60E2" w:rsidRPr="009070C8" w:rsidRDefault="00CA60E2" w:rsidP="00CA60E2">
            <w:pPr>
              <w:pStyle w:val="BodyText"/>
              <w:spacing w:before="60" w:after="60"/>
              <w:ind w:left="57" w:right="57" w:firstLine="0"/>
              <w:rPr>
                <w:sz w:val="20"/>
              </w:rPr>
            </w:pPr>
            <w:r w:rsidRPr="009070C8">
              <w:rPr>
                <w:sz w:val="20"/>
              </w:rPr>
              <w:t>Vendor Resource Document.</w:t>
            </w:r>
          </w:p>
        </w:tc>
      </w:tr>
    </w:tbl>
    <w:p w14:paraId="0E1158CC" w14:textId="77777777" w:rsidR="007B7501" w:rsidRDefault="007B7501" w:rsidP="002C41C7"/>
    <w:p w14:paraId="4A88521D" w14:textId="77777777" w:rsidR="007B7501" w:rsidRDefault="007B7501" w:rsidP="002C41C7">
      <w:r>
        <w:br w:type="page"/>
      </w:r>
    </w:p>
    <w:p w14:paraId="6AC311BA" w14:textId="77777777" w:rsidR="00210E48" w:rsidRDefault="00A714B1" w:rsidP="002C41C7">
      <w:pPr>
        <w:pStyle w:val="Heading1"/>
      </w:pPr>
      <w:bookmarkStart w:id="9" w:name="_Toc57702460"/>
      <w:r>
        <w:lastRenderedPageBreak/>
        <w:t>Introduction</w:t>
      </w:r>
      <w:bookmarkEnd w:id="9"/>
    </w:p>
    <w:p w14:paraId="588BFBB0" w14:textId="77777777" w:rsidR="00942129" w:rsidRDefault="00942129" w:rsidP="00D12943">
      <w:pPr>
        <w:spacing w:before="60"/>
      </w:pPr>
      <w:r>
        <w:t>This document is one of the prescribing vendor support components developed by MSIA, as requested by the Australian Government Department of Health</w:t>
      </w:r>
      <w:r w:rsidR="00B46B59">
        <w:t xml:space="preserve"> (the Department)</w:t>
      </w:r>
      <w:r>
        <w:t>, associated with the implementation of Active Ingredient Prescribing</w:t>
      </w:r>
      <w:r w:rsidR="00170F71">
        <w:t xml:space="preserve"> (AIP)</w:t>
      </w:r>
      <w:r>
        <w:t xml:space="preserve"> which </w:t>
      </w:r>
      <w:r w:rsidR="003C6BD5">
        <w:t xml:space="preserve">had </w:t>
      </w:r>
      <w:r>
        <w:t>previously been referred to as the International Non-Proprietary Name Prescribing Measure.</w:t>
      </w:r>
    </w:p>
    <w:p w14:paraId="0D437717" w14:textId="6DEF53F8" w:rsidR="00942129" w:rsidRDefault="00942129" w:rsidP="00D12943">
      <w:pPr>
        <w:spacing w:before="60"/>
      </w:pPr>
      <w:r>
        <w:t>As part of the 2018-19 "</w:t>
      </w:r>
      <w:r w:rsidRPr="00942129">
        <w:rPr>
          <w:i/>
          <w:iCs/>
        </w:rPr>
        <w:t>Improving Access to Medicines - encouraging greater use of generic and biosimilar medicines</w:t>
      </w:r>
      <w:r>
        <w:t>" measure</w:t>
      </w:r>
      <w:r w:rsidR="00335F01">
        <w:rPr>
          <w:rStyle w:val="FootnoteReference"/>
        </w:rPr>
        <w:footnoteReference w:id="4"/>
      </w:r>
      <w:r>
        <w:t xml:space="preserve">, the Department </w:t>
      </w:r>
      <w:r w:rsidR="003C6BD5">
        <w:t xml:space="preserve">has implemented </w:t>
      </w:r>
      <w:r>
        <w:t>a group of initiatives designed to improve prescribing practices within Australia by improving the timely transfer and provision of medicine information between medical professionals and changes to prescribing software</w:t>
      </w:r>
      <w:r w:rsidR="003F0390">
        <w:t xml:space="preserve"> to increase medication safety.</w:t>
      </w:r>
    </w:p>
    <w:p w14:paraId="6EC41473" w14:textId="5CBEFA40" w:rsidR="008525F2" w:rsidRDefault="00942129" w:rsidP="00D12943">
      <w:pPr>
        <w:spacing w:before="60"/>
      </w:pPr>
      <w:r>
        <w:t>These initiatives include the Electronic Prescribing Initiative, Active Ingredient Prescribing Initiative and the Electronic Recording and</w:t>
      </w:r>
      <w:r w:rsidR="003F0390">
        <w:t xml:space="preserve"> Reporting of Controlled Drugs.</w:t>
      </w:r>
    </w:p>
    <w:p w14:paraId="5A1EBD3C" w14:textId="3567EB8B" w:rsidR="00942129" w:rsidRDefault="00942129" w:rsidP="00D12943">
      <w:pPr>
        <w:spacing w:before="60"/>
      </w:pPr>
      <w:r>
        <w:t>While these initiatives were announced and are funded under a broader Budget measure with similar timeframes, implementation is occurring separately.</w:t>
      </w:r>
    </w:p>
    <w:p w14:paraId="684E9637" w14:textId="77777777" w:rsidR="00942129" w:rsidRDefault="00942129" w:rsidP="00D12943">
      <w:pPr>
        <w:spacing w:before="60"/>
      </w:pPr>
      <w:r>
        <w:t xml:space="preserve">When the program was originally introduced to the prescribing vendors MSIA assisted the Department in facilitating several teleconferences </w:t>
      </w:r>
      <w:r w:rsidR="00201E39">
        <w:t xml:space="preserve">and </w:t>
      </w:r>
      <w:r>
        <w:t>a face to face workshop on 2 August 2018.</w:t>
      </w:r>
    </w:p>
    <w:p w14:paraId="29E599A4" w14:textId="77777777" w:rsidR="00942129" w:rsidRDefault="00942129" w:rsidP="00D12943">
      <w:pPr>
        <w:spacing w:before="60"/>
      </w:pPr>
      <w:r>
        <w:t>Subsequently the program has undergone significant refinements as an outcome of the co-design and input form a variety of stakeholders.</w:t>
      </w:r>
    </w:p>
    <w:p w14:paraId="6844045D" w14:textId="77777777" w:rsidR="00160B71" w:rsidRDefault="00160B71" w:rsidP="002C41C7">
      <w:pPr>
        <w:pStyle w:val="Heading2"/>
      </w:pPr>
      <w:bookmarkStart w:id="10" w:name="_Ref15968606"/>
      <w:bookmarkStart w:id="11" w:name="_Toc57702461"/>
      <w:r>
        <w:t>Regulatory change overview</w:t>
      </w:r>
      <w:bookmarkEnd w:id="10"/>
      <w:bookmarkEnd w:id="11"/>
    </w:p>
    <w:p w14:paraId="1468512F" w14:textId="77777777" w:rsidR="00BB501F" w:rsidRPr="00BF343B" w:rsidRDefault="00BB501F" w:rsidP="00D12943">
      <w:pPr>
        <w:spacing w:before="60"/>
        <w:rPr>
          <w:i/>
          <w:szCs w:val="22"/>
        </w:rPr>
      </w:pPr>
      <w:r>
        <w:rPr>
          <w:iCs/>
        </w:rPr>
        <w:t xml:space="preserve">The </w:t>
      </w:r>
      <w:r>
        <w:t xml:space="preserve">legislative amendments </w:t>
      </w:r>
      <w:r>
        <w:rPr>
          <w:iCs/>
        </w:rPr>
        <w:t xml:space="preserve">are tabled under </w:t>
      </w:r>
      <w:r w:rsidRPr="00201E39">
        <w:rPr>
          <w:iCs/>
          <w:szCs w:val="22"/>
        </w:rPr>
        <w:t>"</w:t>
      </w:r>
      <w:r w:rsidRPr="0067741B">
        <w:rPr>
          <w:i/>
          <w:szCs w:val="22"/>
        </w:rPr>
        <w:t xml:space="preserve">The National Health (Pharmaceutical Benefits) Amendment (Active ingredient Prescribing) </w:t>
      </w:r>
      <w:r w:rsidR="00161531" w:rsidRPr="0067741B">
        <w:rPr>
          <w:i/>
          <w:szCs w:val="22"/>
        </w:rPr>
        <w:t xml:space="preserve">Regulations </w:t>
      </w:r>
      <w:r w:rsidRPr="0067741B">
        <w:rPr>
          <w:i/>
          <w:szCs w:val="22"/>
        </w:rPr>
        <w:t>2019</w:t>
      </w:r>
      <w:r w:rsidRPr="0067741B">
        <w:rPr>
          <w:rStyle w:val="FootnoteReference"/>
          <w:i/>
          <w:szCs w:val="22"/>
        </w:rPr>
        <w:footnoteReference w:id="5"/>
      </w:r>
      <w:r w:rsidRPr="00201E39">
        <w:rPr>
          <w:i/>
          <w:szCs w:val="22"/>
        </w:rPr>
        <w:t>" and "</w:t>
      </w:r>
      <w:r w:rsidRPr="0067741B">
        <w:rPr>
          <w:i/>
          <w:szCs w:val="22"/>
        </w:rPr>
        <w:t>The Veterans’ Affairs Pharmaceutical Benefits Schemes (Electronic Prescriptions and Active Ingredient Prescribing) Amendment Instrument 2019</w:t>
      </w:r>
      <w:r w:rsidR="00546478" w:rsidRPr="008C7898">
        <w:rPr>
          <w:rStyle w:val="FootnoteReference"/>
          <w:i/>
          <w:szCs w:val="22"/>
        </w:rPr>
        <w:footnoteReference w:id="6"/>
      </w:r>
      <w:r w:rsidRPr="008C7898">
        <w:rPr>
          <w:i/>
          <w:szCs w:val="22"/>
        </w:rPr>
        <w:t>"</w:t>
      </w:r>
      <w:r w:rsidR="00674E85" w:rsidRPr="008C7898">
        <w:rPr>
          <w:szCs w:val="22"/>
        </w:rPr>
        <w:t xml:space="preserve"> and </w:t>
      </w:r>
      <w:r w:rsidR="008C7898" w:rsidRPr="008C7898">
        <w:rPr>
          <w:szCs w:val="22"/>
        </w:rPr>
        <w:t>“</w:t>
      </w:r>
      <w:r w:rsidR="008C7898" w:rsidRPr="00BF343B">
        <w:rPr>
          <w:i/>
          <w:szCs w:val="22"/>
        </w:rPr>
        <w:t>The National Health (Pharmaceutical Benefits) Amendment (Active ingredient Prescribing) Regulations 2020”</w:t>
      </w:r>
    </w:p>
    <w:p w14:paraId="63838849" w14:textId="4AC8DCAB" w:rsidR="008525F2" w:rsidRDefault="002F5E3B" w:rsidP="008525F2">
      <w:pPr>
        <w:spacing w:before="60"/>
      </w:pPr>
      <w:r>
        <w:t>Th</w:t>
      </w:r>
      <w:r w:rsidR="00404B5E">
        <w:t>ese</w:t>
      </w:r>
      <w:r>
        <w:t xml:space="preserve"> </w:t>
      </w:r>
      <w:r w:rsidR="00882964">
        <w:t xml:space="preserve">regulatory </w:t>
      </w:r>
      <w:r w:rsidR="002B5C25">
        <w:t>amendments</w:t>
      </w:r>
      <w:bookmarkStart w:id="12" w:name="_Hlk15969288"/>
      <w:r w:rsidR="002B5C25">
        <w:t xml:space="preserve"> </w:t>
      </w:r>
      <w:r>
        <w:t xml:space="preserve">require </w:t>
      </w:r>
      <w:r w:rsidR="00FD69B1">
        <w:t xml:space="preserve">the </w:t>
      </w:r>
      <w:r>
        <w:t xml:space="preserve">inclusion of </w:t>
      </w:r>
      <w:r w:rsidR="00FD69B1">
        <w:t>active ingredient name(s) on</w:t>
      </w:r>
      <w:r>
        <w:t xml:space="preserve"> all RPBS/PBS prescriptions and</w:t>
      </w:r>
      <w:r w:rsidR="001D6AE8">
        <w:t xml:space="preserve"> allow for the identification of a </w:t>
      </w:r>
      <w:r w:rsidR="00FD69B1">
        <w:t xml:space="preserve">brand </w:t>
      </w:r>
      <w:r w:rsidR="008C7167">
        <w:t>i</w:t>
      </w:r>
      <w:r w:rsidR="000747C6">
        <w:t>f</w:t>
      </w:r>
      <w:r w:rsidR="00FD69B1">
        <w:t xml:space="preserve"> the prescriber deem</w:t>
      </w:r>
      <w:r w:rsidR="000747C6">
        <w:t>s</w:t>
      </w:r>
      <w:r w:rsidR="00FD69B1">
        <w:t xml:space="preserve"> this to be clinically appropriate</w:t>
      </w:r>
      <w:r w:rsidR="00160B71">
        <w:t xml:space="preserve"> for the</w:t>
      </w:r>
      <w:r w:rsidR="00874010">
        <w:t xml:space="preserve"> treatment of their </w:t>
      </w:r>
      <w:r w:rsidR="008C7167">
        <w:t>patient</w:t>
      </w:r>
      <w:r w:rsidR="00874010">
        <w:t>.</w:t>
      </w:r>
      <w:bookmarkEnd w:id="12"/>
    </w:p>
    <w:p w14:paraId="00FF330C" w14:textId="481053B4" w:rsidR="00186CB3" w:rsidRDefault="008525F2" w:rsidP="00D12943">
      <w:pPr>
        <w:spacing w:before="60"/>
      </w:pPr>
      <w:r>
        <w:t>Where the brand name is included, the active ingredient(s) must appear first.</w:t>
      </w:r>
    </w:p>
    <w:p w14:paraId="595604F6" w14:textId="77777777" w:rsidR="00501271" w:rsidRPr="00501271" w:rsidRDefault="00715E5C" w:rsidP="00D12943">
      <w:pPr>
        <w:spacing w:before="60"/>
      </w:pPr>
      <w:r w:rsidRPr="00501271">
        <w:t xml:space="preserve">The Department of Veterans’ Affairs has </w:t>
      </w:r>
      <w:r>
        <w:t xml:space="preserve">also </w:t>
      </w:r>
      <w:r w:rsidRPr="00501271">
        <w:t>amended RPBS legislation for RPBS items</w:t>
      </w:r>
      <w:r>
        <w:t xml:space="preserve"> to include </w:t>
      </w:r>
      <w:r w:rsidRPr="00501271">
        <w:t>the same conditions as the PBS legislation</w:t>
      </w:r>
      <w:r w:rsidR="00201E39">
        <w:t xml:space="preserve"> </w:t>
      </w:r>
      <w:r w:rsidR="00201E39" w:rsidRPr="00501271">
        <w:t xml:space="preserve">for </w:t>
      </w:r>
      <w:r w:rsidR="00201E39">
        <w:t>AIP</w:t>
      </w:r>
      <w:r w:rsidRPr="00501271">
        <w:t>.</w:t>
      </w:r>
    </w:p>
    <w:p w14:paraId="4E8E62EE" w14:textId="42D7342C" w:rsidR="00D12943" w:rsidRDefault="00D12943" w:rsidP="00D12943">
      <w:pPr>
        <w:pStyle w:val="Heading3"/>
      </w:pPr>
      <w:bookmarkStart w:id="13" w:name="_Toc57702462"/>
      <w:r>
        <w:t xml:space="preserve">Extension of </w:t>
      </w:r>
      <w:r w:rsidR="00D8475E">
        <w:t>t</w:t>
      </w:r>
      <w:r>
        <w:t xml:space="preserve">ransition </w:t>
      </w:r>
      <w:r w:rsidR="00D8475E">
        <w:t>p</w:t>
      </w:r>
      <w:r>
        <w:t>eriod</w:t>
      </w:r>
      <w:bookmarkEnd w:id="13"/>
    </w:p>
    <w:p w14:paraId="00359D19" w14:textId="4453F6E7" w:rsidR="00674E85" w:rsidRDefault="00674E85" w:rsidP="00D12943">
      <w:pPr>
        <w:spacing w:before="0"/>
      </w:pPr>
      <w:r>
        <w:t>A further regulatory amendment was made in August 2020 to extend the transition period from 1 November 2020 to 1 February 2021</w:t>
      </w:r>
      <w:r w:rsidR="00067E79">
        <w:t xml:space="preserve"> to allow adequate time for the changes to be rolled out to </w:t>
      </w:r>
      <w:r w:rsidR="00D12943">
        <w:t xml:space="preserve">prescribers to ensure that prescriptions </w:t>
      </w:r>
      <w:r w:rsidR="005B1F80">
        <w:t>shall</w:t>
      </w:r>
      <w:r w:rsidR="00067E79">
        <w:t xml:space="preserve"> </w:t>
      </w:r>
      <w:r w:rsidR="00D12943">
        <w:t xml:space="preserve">comply with all </w:t>
      </w:r>
      <w:r w:rsidR="00A622A9">
        <w:t>legislative</w:t>
      </w:r>
      <w:r w:rsidR="00D12943">
        <w:t xml:space="preserve"> requirements</w:t>
      </w:r>
      <w:r w:rsidR="00D8475E">
        <w:t xml:space="preserve"> from this date</w:t>
      </w:r>
      <w:r w:rsidR="00D12943">
        <w:t>.</w:t>
      </w:r>
    </w:p>
    <w:p w14:paraId="23D884ED" w14:textId="77777777" w:rsidR="00A64C93" w:rsidRDefault="00A64C93" w:rsidP="00A64C93">
      <w:pPr>
        <w:pStyle w:val="Heading3"/>
      </w:pPr>
      <w:bookmarkStart w:id="14" w:name="_Ref31403397"/>
      <w:bookmarkStart w:id="15" w:name="_Toc57702463"/>
      <w:r>
        <w:lastRenderedPageBreak/>
        <w:t>Inclusion of the Brand as a Default is prohibited</w:t>
      </w:r>
      <w:bookmarkEnd w:id="14"/>
      <w:bookmarkEnd w:id="15"/>
    </w:p>
    <w:p w14:paraId="44703E75" w14:textId="24CFD602" w:rsidR="003166DA" w:rsidRDefault="001D6AE8" w:rsidP="00BB501F">
      <w:pPr>
        <w:spacing w:before="80"/>
      </w:pPr>
      <w:r>
        <w:t xml:space="preserve">The legislative changes also stipulate that computer </w:t>
      </w:r>
      <w:r w:rsidR="008D0693">
        <w:t xml:space="preserve">programs used to generate </w:t>
      </w:r>
      <w:r w:rsidR="00B46B59">
        <w:t>PBS</w:t>
      </w:r>
      <w:r w:rsidR="00B41692">
        <w:t>/RPBS</w:t>
      </w:r>
      <w:r w:rsidR="008D0693">
        <w:t xml:space="preserve"> prescriptions must not apply </w:t>
      </w:r>
      <w:r w:rsidR="00671AAA">
        <w:t xml:space="preserve">the </w:t>
      </w:r>
      <w:r w:rsidR="008D0693">
        <w:t xml:space="preserve">brand to prescriptions </w:t>
      </w:r>
      <w:r w:rsidR="008D0693" w:rsidRPr="003166DA">
        <w:rPr>
          <w:u w:val="single"/>
        </w:rPr>
        <w:t>by default</w:t>
      </w:r>
      <w:r w:rsidR="003F0390">
        <w:t>.</w:t>
      </w:r>
    </w:p>
    <w:p w14:paraId="2118E5DF" w14:textId="0B032D0D" w:rsidR="00BB501F" w:rsidRDefault="00671AAA" w:rsidP="00BB501F">
      <w:pPr>
        <w:spacing w:before="80"/>
      </w:pPr>
      <w:r>
        <w:t>The p</w:t>
      </w:r>
      <w:r w:rsidR="008D0693">
        <w:t>rescriber</w:t>
      </w:r>
      <w:r>
        <w:t xml:space="preserve"> </w:t>
      </w:r>
      <w:r w:rsidR="00874010">
        <w:t>must</w:t>
      </w:r>
      <w:r w:rsidR="00715E5C">
        <w:t xml:space="preserve"> </w:t>
      </w:r>
      <w:r w:rsidR="008D0693">
        <w:t xml:space="preserve">make a clinical decision on the application of </w:t>
      </w:r>
      <w:r w:rsidR="00B75624">
        <w:t xml:space="preserve">the </w:t>
      </w:r>
      <w:r w:rsidR="008D0693">
        <w:t>brand</w:t>
      </w:r>
      <w:r w:rsidR="00B46B59">
        <w:t xml:space="preserve"> name</w:t>
      </w:r>
      <w:r w:rsidR="00C57793">
        <w:t xml:space="preserve"> for prescriptions in various circumstances</w:t>
      </w:r>
      <w:r w:rsidR="008D0693">
        <w:t xml:space="preserve">. </w:t>
      </w:r>
      <w:r w:rsidR="00B75624">
        <w:t>R</w:t>
      </w:r>
      <w:r w:rsidR="00BB501F">
        <w:t xml:space="preserve">efer to section </w:t>
      </w:r>
      <w:r w:rsidR="00BB501F">
        <w:fldChar w:fldCharType="begin"/>
      </w:r>
      <w:r w:rsidR="00BB501F">
        <w:instrText xml:space="preserve"> REF _Ref23747555 \r \h </w:instrText>
      </w:r>
      <w:r w:rsidR="00BB501F">
        <w:fldChar w:fldCharType="separate"/>
      </w:r>
      <w:r w:rsidR="005B1F80">
        <w:t>10.2</w:t>
      </w:r>
      <w:r w:rsidR="00BB501F">
        <w:fldChar w:fldCharType="end"/>
      </w:r>
      <w:r w:rsidR="00BB501F">
        <w:t xml:space="preserve"> for further details of the legislation.</w:t>
      </w:r>
    </w:p>
    <w:p w14:paraId="53376DE8" w14:textId="77777777" w:rsidR="001F47C6" w:rsidRDefault="001F47C6" w:rsidP="001F47C6">
      <w:pPr>
        <w:pStyle w:val="Heading3"/>
      </w:pPr>
      <w:bookmarkStart w:id="16" w:name="_Toc57702464"/>
      <w:bookmarkStart w:id="17" w:name="_Hlk23413131"/>
      <w:r>
        <w:t>Exemptions</w:t>
      </w:r>
      <w:bookmarkEnd w:id="16"/>
    </w:p>
    <w:p w14:paraId="10804B94" w14:textId="22274B3F" w:rsidR="002E77FD" w:rsidRDefault="0024329C" w:rsidP="00B75624">
      <w:r>
        <w:t xml:space="preserve">The legislative amendments </w:t>
      </w:r>
      <w:r w:rsidR="00715E5C">
        <w:t>also enable the Secretary of the Department</w:t>
      </w:r>
      <w:r w:rsidR="00546478">
        <w:t xml:space="preserve"> </w:t>
      </w:r>
      <w:r w:rsidR="00715E5C">
        <w:t>to determine some pharmaceutical benefits as</w:t>
      </w:r>
      <w:r w:rsidR="00874010">
        <w:t xml:space="preserve"> exempt from</w:t>
      </w:r>
      <w:r w:rsidR="00715E5C">
        <w:t xml:space="preserve"> </w:t>
      </w:r>
      <w:r>
        <w:t>active ingre</w:t>
      </w:r>
      <w:r w:rsidR="003F0390">
        <w:t>dient prescribing requirements.</w:t>
      </w:r>
    </w:p>
    <w:p w14:paraId="24E02EA1" w14:textId="2E1549F1" w:rsidR="0024329C" w:rsidRDefault="0024329C" w:rsidP="00B75624">
      <w:pPr>
        <w:spacing w:before="80"/>
      </w:pPr>
      <w:r>
        <w:t xml:space="preserve">These items will be determined by the </w:t>
      </w:r>
      <w:r w:rsidR="005124AB">
        <w:t xml:space="preserve">Department in consultation with the </w:t>
      </w:r>
      <w:r>
        <w:t xml:space="preserve">ACSQHC </w:t>
      </w:r>
      <w:r w:rsidR="006C54F5">
        <w:t xml:space="preserve">as </w:t>
      </w:r>
      <w:r w:rsidR="003B1271">
        <w:t xml:space="preserve">described in </w:t>
      </w:r>
      <w:r>
        <w:t xml:space="preserve">the Guidelines for Active Ingredient Prescribing </w:t>
      </w:r>
      <w:r w:rsidR="00C51785">
        <w:br/>
        <w:t>(See references to "</w:t>
      </w:r>
      <w:r w:rsidR="00585CD4">
        <w:t>LMBC</w:t>
      </w:r>
      <w:r w:rsidR="00C51785">
        <w:t>" and "LEMI" section</w:t>
      </w:r>
      <w:r w:rsidR="005B1F80">
        <w:t xml:space="preserve"> </w:t>
      </w:r>
      <w:r w:rsidR="005B1F80">
        <w:fldChar w:fldCharType="begin"/>
      </w:r>
      <w:r w:rsidR="005B1F80">
        <w:instrText xml:space="preserve"> REF _Ref23403294 \r \h </w:instrText>
      </w:r>
      <w:r w:rsidR="005B1F80">
        <w:fldChar w:fldCharType="separate"/>
      </w:r>
      <w:r w:rsidR="005B1F80">
        <w:t>4.2.1</w:t>
      </w:r>
      <w:r w:rsidR="005B1F80">
        <w:fldChar w:fldCharType="end"/>
      </w:r>
      <w:r w:rsidR="00C51785">
        <w:t>).</w:t>
      </w:r>
    </w:p>
    <w:p w14:paraId="4769A35D" w14:textId="77777777" w:rsidR="00AB651C" w:rsidRPr="00F02819" w:rsidRDefault="00AB651C" w:rsidP="00AB651C">
      <w:pPr>
        <w:pStyle w:val="Heading3"/>
      </w:pPr>
      <w:bookmarkStart w:id="18" w:name="_Toc57702465"/>
      <w:r w:rsidRPr="00F02819">
        <w:t>Timetable for Implementation</w:t>
      </w:r>
      <w:bookmarkEnd w:id="18"/>
    </w:p>
    <w:p w14:paraId="3AAD0E90" w14:textId="2E2E2FA9" w:rsidR="005E051C" w:rsidRPr="00F02819" w:rsidRDefault="00160B71" w:rsidP="005E051C">
      <w:pPr>
        <w:spacing w:before="80"/>
      </w:pPr>
      <w:r w:rsidRPr="00F02819">
        <w:t>The implementation of these amendments</w:t>
      </w:r>
      <w:r w:rsidR="00C57793" w:rsidRPr="00F02819">
        <w:t xml:space="preserve"> </w:t>
      </w:r>
      <w:r w:rsidR="00A622A9">
        <w:t>was</w:t>
      </w:r>
      <w:r w:rsidR="005E051C">
        <w:t xml:space="preserve"> originally</w:t>
      </w:r>
      <w:r w:rsidR="000C2445" w:rsidRPr="00F02819">
        <w:t xml:space="preserve"> </w:t>
      </w:r>
      <w:r w:rsidR="008B0105" w:rsidRPr="00F02819">
        <w:t xml:space="preserve">scheduled to be </w:t>
      </w:r>
      <w:r w:rsidR="00550658" w:rsidRPr="00F02819">
        <w:t>released</w:t>
      </w:r>
      <w:r w:rsidR="008B0105" w:rsidRPr="00F02819">
        <w:t xml:space="preserve"> over a </w:t>
      </w:r>
      <w:r w:rsidR="008366D7" w:rsidRPr="00F02819">
        <w:t>twelve</w:t>
      </w:r>
      <w:r w:rsidR="008B0105" w:rsidRPr="00F02819">
        <w:t xml:space="preserve"> month transitional period commencing </w:t>
      </w:r>
      <w:r w:rsidR="00B05306" w:rsidRPr="00F02819">
        <w:t>3</w:t>
      </w:r>
      <w:r w:rsidR="008B0105" w:rsidRPr="00F02819">
        <w:t>1 October 2019</w:t>
      </w:r>
      <w:r w:rsidR="00FD69B1" w:rsidRPr="00F02819">
        <w:t>.</w:t>
      </w:r>
      <w:r w:rsidR="000C2445" w:rsidRPr="00F02819">
        <w:t xml:space="preserve"> </w:t>
      </w:r>
      <w:bookmarkEnd w:id="17"/>
      <w:r w:rsidR="000C2445" w:rsidRPr="00F02819">
        <w:t xml:space="preserve">However, </w:t>
      </w:r>
      <w:r w:rsidR="005F09F6" w:rsidRPr="00F02819">
        <w:t xml:space="preserve">in recognition of the impact of </w:t>
      </w:r>
      <w:r w:rsidR="005E051C">
        <w:t xml:space="preserve">the Australian bushfires and </w:t>
      </w:r>
      <w:r w:rsidR="005F09F6" w:rsidRPr="00F02819">
        <w:t xml:space="preserve">COVID-19 on some vendors and their capacity to implement AIP changes by 1 November </w:t>
      </w:r>
      <w:r w:rsidR="005E051C" w:rsidRPr="00F02819">
        <w:t>20</w:t>
      </w:r>
      <w:r w:rsidR="005E051C">
        <w:t>20</w:t>
      </w:r>
      <w:r w:rsidR="003E6BB2" w:rsidRPr="00F02819">
        <w:t>, th</w:t>
      </w:r>
      <w:r w:rsidR="005F663D" w:rsidRPr="00F02819">
        <w:t xml:space="preserve">e </w:t>
      </w:r>
      <w:r w:rsidR="000C2445" w:rsidRPr="00F02819">
        <w:t>Department</w:t>
      </w:r>
      <w:r w:rsidR="005E051C">
        <w:t xml:space="preserve"> has extended the implementation timeframe for AIP. Prescribing software are now required to comply by </w:t>
      </w:r>
      <w:r w:rsidR="005F663D" w:rsidRPr="00F02819">
        <w:t>1 February 2021</w:t>
      </w:r>
      <w:r w:rsidR="005F09F6" w:rsidRPr="00F02819">
        <w:t xml:space="preserve">. </w:t>
      </w:r>
      <w:r w:rsidR="005E051C" w:rsidRPr="00F02819">
        <w:t xml:space="preserve">Vendors are </w:t>
      </w:r>
      <w:r w:rsidR="005E051C">
        <w:t xml:space="preserve">still </w:t>
      </w:r>
      <w:r w:rsidR="005E051C" w:rsidRPr="00F02819">
        <w:t>encouraged to deploy updated prescribing software to support A</w:t>
      </w:r>
      <w:r w:rsidR="003F0390">
        <w:t>IP changes as soon as possible.</w:t>
      </w:r>
    </w:p>
    <w:p w14:paraId="1C1473BF" w14:textId="77777777" w:rsidR="00A714B1" w:rsidRPr="0037194A" w:rsidRDefault="00F75E22" w:rsidP="002C41C7">
      <w:pPr>
        <w:pStyle w:val="Heading1"/>
      </w:pPr>
      <w:bookmarkStart w:id="19" w:name="_Ref31447322"/>
      <w:bookmarkStart w:id="20" w:name="_Toc57702466"/>
      <w:r>
        <w:t xml:space="preserve">Project </w:t>
      </w:r>
      <w:r w:rsidR="004671AA">
        <w:t>Background Details</w:t>
      </w:r>
      <w:bookmarkEnd w:id="19"/>
      <w:bookmarkEnd w:id="20"/>
    </w:p>
    <w:p w14:paraId="57A91A29" w14:textId="77777777" w:rsidR="00ED5C92" w:rsidRDefault="00C445F2" w:rsidP="00B75624">
      <w:pPr>
        <w:spacing w:before="60"/>
      </w:pPr>
      <w:r>
        <w:t xml:space="preserve">The MSIA will provide </w:t>
      </w:r>
      <w:r w:rsidR="00BB0358">
        <w:t xml:space="preserve">support </w:t>
      </w:r>
      <w:r>
        <w:t xml:space="preserve">services </w:t>
      </w:r>
      <w:r w:rsidR="00FD69B1">
        <w:t>to</w:t>
      </w:r>
      <w:r w:rsidR="00A309B8">
        <w:t xml:space="preserve"> the </w:t>
      </w:r>
      <w:r w:rsidR="00B9129F">
        <w:t>software</w:t>
      </w:r>
      <w:r w:rsidR="00A309B8">
        <w:t xml:space="preserve"> vendors to ensure that the appropriate </w:t>
      </w:r>
      <w:r w:rsidR="00242568">
        <w:t xml:space="preserve">changes </w:t>
      </w:r>
      <w:r w:rsidR="00A309B8">
        <w:t>to the</w:t>
      </w:r>
      <w:r w:rsidR="001F6473">
        <w:t>ir</w:t>
      </w:r>
      <w:r w:rsidR="00A309B8">
        <w:t xml:space="preserve"> software products are implemented to enable prescrib</w:t>
      </w:r>
      <w:r w:rsidR="008366D7">
        <w:t>ing</w:t>
      </w:r>
      <w:r w:rsidR="00A309B8">
        <w:t xml:space="preserve"> by </w:t>
      </w:r>
      <w:r w:rsidR="00A309B8" w:rsidRPr="00430B62">
        <w:rPr>
          <w:i/>
          <w:iCs/>
        </w:rPr>
        <w:t>active ingredient</w:t>
      </w:r>
      <w:r w:rsidR="00A309B8">
        <w:t xml:space="preserve"> with </w:t>
      </w:r>
      <w:r w:rsidR="00B9129F">
        <w:t>or</w:t>
      </w:r>
      <w:r w:rsidR="00A309B8">
        <w:t xml:space="preserve"> without the </w:t>
      </w:r>
      <w:r w:rsidR="004B75B1">
        <w:t xml:space="preserve">inclusion of </w:t>
      </w:r>
      <w:r w:rsidR="00A309B8">
        <w:t>brand name</w:t>
      </w:r>
      <w:r w:rsidR="00550658">
        <w:t xml:space="preserve"> on the prescription </w:t>
      </w:r>
      <w:r w:rsidR="004B75B1">
        <w:t>as</w:t>
      </w:r>
      <w:r w:rsidR="00A309B8">
        <w:t xml:space="preserve"> </w:t>
      </w:r>
      <w:r w:rsidR="00550658">
        <w:t xml:space="preserve">deemed </w:t>
      </w:r>
      <w:r w:rsidR="00A309B8">
        <w:t>appropriate</w:t>
      </w:r>
      <w:r w:rsidR="00550658">
        <w:t xml:space="preserve"> by the prescriber</w:t>
      </w:r>
      <w:r w:rsidR="008D0693">
        <w:t xml:space="preserve"> (for medicinal items in scope).</w:t>
      </w:r>
    </w:p>
    <w:p w14:paraId="0D5D8471" w14:textId="77777777" w:rsidR="000C13C3" w:rsidRDefault="000C13C3" w:rsidP="000C13C3">
      <w:pPr>
        <w:pStyle w:val="Heading2"/>
      </w:pPr>
      <w:bookmarkStart w:id="21" w:name="_Toc57702467"/>
      <w:r>
        <w:t>Universal Nature of this Program:</w:t>
      </w:r>
      <w:bookmarkEnd w:id="21"/>
    </w:p>
    <w:p w14:paraId="57AEABF4" w14:textId="77777777" w:rsidR="000C13C3" w:rsidRPr="00447E24" w:rsidRDefault="000C13C3" w:rsidP="000C13C3">
      <w:pPr>
        <w:spacing w:before="60"/>
      </w:pPr>
      <w:bookmarkStart w:id="22" w:name="_Hlk25859781"/>
      <w:r w:rsidRPr="00447E24">
        <w:t xml:space="preserve">It is clearly understood that the AIP </w:t>
      </w:r>
      <w:r w:rsidR="00314B0D" w:rsidRPr="00447E24">
        <w:t>l</w:t>
      </w:r>
      <w:r w:rsidRPr="00447E24">
        <w:t xml:space="preserve">egislative </w:t>
      </w:r>
      <w:r w:rsidR="00314B0D" w:rsidRPr="00447E24">
        <w:t>a</w:t>
      </w:r>
      <w:r w:rsidRPr="00447E24">
        <w:t xml:space="preserve">mendments under </w:t>
      </w:r>
      <w:r w:rsidR="004F1243" w:rsidRPr="00447E24">
        <w:t xml:space="preserve">the </w:t>
      </w:r>
      <w:r w:rsidR="00314B0D" w:rsidRPr="0067741B">
        <w:rPr>
          <w:rFonts w:cs="Arial"/>
          <w:i/>
        </w:rPr>
        <w:t>National Health (Pharmaceutical Benefits) Regulations 2017</w:t>
      </w:r>
      <w:r w:rsidRPr="00447E24">
        <w:t xml:space="preserve"> apply to PBS/RPBS drugs.</w:t>
      </w:r>
    </w:p>
    <w:p w14:paraId="6307A5BA" w14:textId="77777777" w:rsidR="000C13C3" w:rsidRPr="00447E24" w:rsidRDefault="00447E24" w:rsidP="000C13C3">
      <w:pPr>
        <w:spacing w:before="60"/>
      </w:pPr>
      <w:r>
        <w:t>As t</w:t>
      </w:r>
      <w:r w:rsidR="000C13C3" w:rsidRPr="00447E24">
        <w:t xml:space="preserve">he ACSQHC, ADHA, TGA and jurisdictions </w:t>
      </w:r>
      <w:r>
        <w:t>are supportive of</w:t>
      </w:r>
      <w:r w:rsidR="004D70AA" w:rsidRPr="00447E24">
        <w:t xml:space="preserve"> these principles extend</w:t>
      </w:r>
      <w:r>
        <w:t>ing</w:t>
      </w:r>
      <w:r w:rsidR="004D70AA" w:rsidRPr="00447E24">
        <w:t xml:space="preserve"> to all prescri</w:t>
      </w:r>
      <w:r w:rsidR="00314B0D" w:rsidRPr="00447E24">
        <w:t>pt</w:t>
      </w:r>
      <w:r w:rsidR="004D70AA" w:rsidRPr="00447E24">
        <w:t>i</w:t>
      </w:r>
      <w:r w:rsidR="00314B0D" w:rsidRPr="00447E24">
        <w:t>o</w:t>
      </w:r>
      <w:r w:rsidR="004D70AA" w:rsidRPr="00447E24">
        <w:t>ns</w:t>
      </w:r>
      <w:r>
        <w:t>,</w:t>
      </w:r>
      <w:r w:rsidR="000C13C3" w:rsidRPr="00447E24">
        <w:t xml:space="preserve"> </w:t>
      </w:r>
      <w:r>
        <w:t>prescribing vendors</w:t>
      </w:r>
      <w:r w:rsidRPr="00447E24">
        <w:t xml:space="preserve"> </w:t>
      </w:r>
      <w:r w:rsidR="000C13C3" w:rsidRPr="00447E24">
        <w:t xml:space="preserve">should not interpret </w:t>
      </w:r>
      <w:r>
        <w:t xml:space="preserve">the scope </w:t>
      </w:r>
      <w:r w:rsidR="000C13C3" w:rsidRPr="00447E24">
        <w:t>as being limited to the prescribing of PBS/RPBS items only.</w:t>
      </w:r>
    </w:p>
    <w:p w14:paraId="376DB49A" w14:textId="77777777" w:rsidR="00F75E22" w:rsidRDefault="00F75E22" w:rsidP="002C41C7">
      <w:pPr>
        <w:pStyle w:val="Heading2"/>
      </w:pPr>
      <w:bookmarkStart w:id="23" w:name="_Toc57702468"/>
      <w:bookmarkEnd w:id="22"/>
      <w:r>
        <w:t>ACSQHC Role</w:t>
      </w:r>
      <w:bookmarkEnd w:id="23"/>
    </w:p>
    <w:p w14:paraId="06B63E3B" w14:textId="4671FE5D" w:rsidR="00623AAB" w:rsidRDefault="0068616D" w:rsidP="00B81EDF">
      <w:pPr>
        <w:spacing w:before="60"/>
      </w:pPr>
      <w:r w:rsidRPr="00104C09">
        <w:t xml:space="preserve">To support implementation, the </w:t>
      </w:r>
      <w:r w:rsidR="0069390B">
        <w:t>ACSQHC</w:t>
      </w:r>
      <w:r w:rsidRPr="00104C09">
        <w:t xml:space="preserve"> </w:t>
      </w:r>
      <w:r w:rsidR="003B1271">
        <w:t>was engaged by the Department</w:t>
      </w:r>
      <w:r w:rsidR="00546478">
        <w:t xml:space="preserve"> </w:t>
      </w:r>
      <w:r w:rsidR="003B1271">
        <w:t xml:space="preserve">in July 2019 to develop </w:t>
      </w:r>
      <w:r w:rsidR="008366D7" w:rsidRPr="002C41C7">
        <w:t>"</w:t>
      </w:r>
      <w:r w:rsidR="00422BD1" w:rsidRPr="002C41C7">
        <w:t>Guidelines for</w:t>
      </w:r>
      <w:r w:rsidRPr="002C41C7">
        <w:t xml:space="preserve"> Active Ingredient Prescribing</w:t>
      </w:r>
      <w:r w:rsidR="008366D7" w:rsidRPr="002C41C7">
        <w:t>"</w:t>
      </w:r>
      <w:r w:rsidR="003B1271">
        <w:t>. The guidelines will</w:t>
      </w:r>
      <w:r w:rsidRPr="002C41C7">
        <w:t xml:space="preserve"> provide best practice recommendations </w:t>
      </w:r>
      <w:r w:rsidR="008D0693" w:rsidRPr="002C41C7">
        <w:t>to</w:t>
      </w:r>
      <w:r w:rsidRPr="002C41C7">
        <w:t xml:space="preserve"> support prescribers’ clinical decision making and patient safety</w:t>
      </w:r>
      <w:r w:rsidR="009C4AFF">
        <w:t xml:space="preserve"> relating to AIP</w:t>
      </w:r>
      <w:bookmarkStart w:id="24" w:name="_Ref15974413"/>
      <w:r w:rsidR="003F0390">
        <w:t>.</w:t>
      </w:r>
    </w:p>
    <w:p w14:paraId="187E1F73" w14:textId="63C2A35B" w:rsidR="00702F42" w:rsidRDefault="00702F42" w:rsidP="00702F42">
      <w:pPr>
        <w:spacing w:before="60"/>
      </w:pPr>
      <w:r>
        <w:t xml:space="preserve">Please also refer to section </w:t>
      </w:r>
      <w:r w:rsidR="008B3D8A">
        <w:fldChar w:fldCharType="begin"/>
      </w:r>
      <w:r w:rsidR="008B3D8A">
        <w:instrText xml:space="preserve"> REF _Ref48211941 \r \h </w:instrText>
      </w:r>
      <w:r w:rsidR="008B3D8A">
        <w:fldChar w:fldCharType="separate"/>
      </w:r>
      <w:r w:rsidR="005B1F80">
        <w:t>5.7</w:t>
      </w:r>
      <w:r w:rsidR="008B3D8A">
        <w:fldChar w:fldCharType="end"/>
      </w:r>
      <w:r w:rsidR="008B3D8A">
        <w:t xml:space="preserve"> </w:t>
      </w:r>
      <w:r>
        <w:t>relating to consistency of formatting of medicine names.</w:t>
      </w:r>
    </w:p>
    <w:p w14:paraId="3989333A" w14:textId="77777777" w:rsidR="00623AAB" w:rsidRDefault="00623AAB">
      <w:pPr>
        <w:spacing w:before="0"/>
      </w:pPr>
      <w:r>
        <w:br w:type="page"/>
      </w:r>
    </w:p>
    <w:p w14:paraId="5F7F179A" w14:textId="003FB597" w:rsidR="00786DE8" w:rsidRPr="00984FEF" w:rsidRDefault="003B1271" w:rsidP="00BC57B5">
      <w:pPr>
        <w:pStyle w:val="CCS-Heading3"/>
        <w:rPr>
          <w:rFonts w:ascii="Verdana" w:hAnsi="Verdana"/>
          <w:color w:val="365F91"/>
          <w:sz w:val="24"/>
          <w:szCs w:val="24"/>
        </w:rPr>
      </w:pPr>
      <w:r w:rsidRPr="00984FEF">
        <w:rPr>
          <w:rFonts w:ascii="Verdana" w:hAnsi="Verdana"/>
          <w:color w:val="365F91"/>
          <w:sz w:val="24"/>
          <w:szCs w:val="24"/>
        </w:rPr>
        <w:lastRenderedPageBreak/>
        <w:t xml:space="preserve">Guidelines for </w:t>
      </w:r>
      <w:r w:rsidR="003F0390" w:rsidRPr="00984FEF">
        <w:rPr>
          <w:rFonts w:ascii="Verdana" w:hAnsi="Verdana"/>
          <w:color w:val="365F91"/>
          <w:sz w:val="24"/>
          <w:szCs w:val="24"/>
        </w:rPr>
        <w:t>Active Ingredient Prescribing</w:t>
      </w:r>
    </w:p>
    <w:p w14:paraId="29B95F7D" w14:textId="33BCE371" w:rsidR="003166DA" w:rsidRDefault="00A701CB" w:rsidP="00B75624">
      <w:pPr>
        <w:spacing w:before="60"/>
      </w:pPr>
      <w:r>
        <w:t xml:space="preserve">These </w:t>
      </w:r>
      <w:r w:rsidR="003B1271">
        <w:t>g</w:t>
      </w:r>
      <w:r>
        <w:t xml:space="preserve">uidelines will align with existing recommendations for medicines information display such as the </w:t>
      </w:r>
      <w:r w:rsidR="009C4AFF">
        <w:t xml:space="preserve">ACSQHC’s </w:t>
      </w:r>
      <w:r w:rsidRPr="003C7FAF">
        <w:rPr>
          <w:i/>
        </w:rPr>
        <w:t xml:space="preserve">Recommendations for Terminology, Abbreviations and Symbols used in </w:t>
      </w:r>
      <w:r>
        <w:rPr>
          <w:i/>
        </w:rPr>
        <w:t>medicines documentation</w:t>
      </w:r>
      <w:r w:rsidR="00643505">
        <w:rPr>
          <w:rStyle w:val="FootnoteReference"/>
          <w:i/>
        </w:rPr>
        <w:footnoteReference w:id="7"/>
      </w:r>
      <w:r>
        <w:t xml:space="preserve"> and the electronic display of active ingredient and brand name as described in the </w:t>
      </w:r>
      <w:r w:rsidRPr="00BF1C6D">
        <w:rPr>
          <w:i/>
        </w:rPr>
        <w:t>National Guidelines for On-Screen Display of Medicines Information</w:t>
      </w:r>
      <w:r w:rsidR="00643505">
        <w:rPr>
          <w:rStyle w:val="FootnoteReference"/>
          <w:i/>
        </w:rPr>
        <w:footnoteReference w:id="8"/>
      </w:r>
      <w:r>
        <w:rPr>
          <w:i/>
        </w:rPr>
        <w:t>.</w:t>
      </w:r>
    </w:p>
    <w:p w14:paraId="47911181" w14:textId="77777777" w:rsidR="001D5B54" w:rsidRPr="004F1243" w:rsidRDefault="00A701CB" w:rsidP="00B75624">
      <w:pPr>
        <w:spacing w:before="0"/>
        <w:rPr>
          <w:szCs w:val="22"/>
        </w:rPr>
      </w:pPr>
      <w:r>
        <w:t xml:space="preserve">These guidelines will assist prescribers in making </w:t>
      </w:r>
      <w:r w:rsidR="003B1271">
        <w:t>appropriate</w:t>
      </w:r>
      <w:r>
        <w:t xml:space="preserve"> clinical decisions </w:t>
      </w:r>
      <w:r w:rsidR="002F3DE3" w:rsidRPr="004F1243">
        <w:rPr>
          <w:szCs w:val="22"/>
        </w:rPr>
        <w:t>regarding</w:t>
      </w:r>
      <w:r w:rsidRPr="004F1243">
        <w:rPr>
          <w:szCs w:val="22"/>
        </w:rPr>
        <w:t xml:space="preserve"> the </w:t>
      </w:r>
      <w:r w:rsidR="007C3A30" w:rsidRPr="004F1243">
        <w:rPr>
          <w:szCs w:val="22"/>
        </w:rPr>
        <w:t>specification</w:t>
      </w:r>
      <w:r w:rsidRPr="004F1243">
        <w:rPr>
          <w:szCs w:val="22"/>
        </w:rPr>
        <w:t xml:space="preserve"> of </w:t>
      </w:r>
      <w:r w:rsidR="006C54F5" w:rsidRPr="004F1243">
        <w:rPr>
          <w:szCs w:val="22"/>
        </w:rPr>
        <w:t xml:space="preserve">the </w:t>
      </w:r>
      <w:r w:rsidRPr="004F1243">
        <w:rPr>
          <w:szCs w:val="22"/>
        </w:rPr>
        <w:t xml:space="preserve">brand </w:t>
      </w:r>
      <w:r w:rsidR="007C3A30" w:rsidRPr="004F1243">
        <w:rPr>
          <w:szCs w:val="22"/>
        </w:rPr>
        <w:t>name following the active ingredient.</w:t>
      </w:r>
    </w:p>
    <w:p w14:paraId="23596C90" w14:textId="356BE376" w:rsidR="00623AAB" w:rsidRDefault="008B3D8A" w:rsidP="001D5B54">
      <w:pPr>
        <w:rPr>
          <w:szCs w:val="22"/>
        </w:rPr>
      </w:pPr>
      <w:r>
        <w:rPr>
          <w:color w:val="0166AA"/>
          <w:szCs w:val="22"/>
        </w:rPr>
        <w:t xml:space="preserve">Following extensive consultation with stakeholders, two </w:t>
      </w:r>
      <w:r w:rsidR="0086287A" w:rsidRPr="0086287A">
        <w:rPr>
          <w:color w:val="0166AA"/>
          <w:szCs w:val="22"/>
        </w:rPr>
        <w:t xml:space="preserve">Drug Lists </w:t>
      </w:r>
      <w:r>
        <w:rPr>
          <w:color w:val="0166AA"/>
          <w:szCs w:val="22"/>
        </w:rPr>
        <w:t xml:space="preserve">have been </w:t>
      </w:r>
      <w:r w:rsidR="0086287A" w:rsidRPr="0086287A">
        <w:rPr>
          <w:color w:val="0166AA"/>
          <w:szCs w:val="22"/>
        </w:rPr>
        <w:t>developed</w:t>
      </w:r>
      <w:r>
        <w:rPr>
          <w:color w:val="0166AA"/>
          <w:szCs w:val="22"/>
        </w:rPr>
        <w:t xml:space="preserve"> to support prescribers:</w:t>
      </w:r>
    </w:p>
    <w:p w14:paraId="38A69CF7" w14:textId="77777777" w:rsidR="00623AAB" w:rsidRPr="00623AAB" w:rsidRDefault="008B3D8A" w:rsidP="00623AAB">
      <w:pPr>
        <w:pStyle w:val="ListParagraph"/>
        <w:numPr>
          <w:ilvl w:val="0"/>
          <w:numId w:val="20"/>
        </w:numPr>
        <w:spacing w:before="60"/>
        <w:rPr>
          <w:szCs w:val="22"/>
        </w:rPr>
      </w:pPr>
      <w:r>
        <w:rPr>
          <w:szCs w:val="22"/>
        </w:rPr>
        <w:t xml:space="preserve">The </w:t>
      </w:r>
      <w:r w:rsidR="00D24E20" w:rsidRPr="00623AAB">
        <w:rPr>
          <w:szCs w:val="22"/>
        </w:rPr>
        <w:t>List of Medicines for Brand Consideration</w:t>
      </w:r>
      <w:r w:rsidR="00874010" w:rsidRPr="00623AAB">
        <w:rPr>
          <w:szCs w:val="22"/>
        </w:rPr>
        <w:t xml:space="preserve"> (</w:t>
      </w:r>
      <w:r w:rsidR="00585CD4" w:rsidRPr="00623AAB">
        <w:rPr>
          <w:szCs w:val="22"/>
        </w:rPr>
        <w:t>LMBC</w:t>
      </w:r>
      <w:r w:rsidR="004C2FB7" w:rsidRPr="00623AAB">
        <w:rPr>
          <w:szCs w:val="22"/>
        </w:rPr>
        <w:t xml:space="preserve">) </w:t>
      </w:r>
      <w:r w:rsidR="00C13C62">
        <w:rPr>
          <w:szCs w:val="22"/>
        </w:rPr>
        <w:t xml:space="preserve">to be distributed </w:t>
      </w:r>
      <w:r w:rsidR="00D0000E">
        <w:rPr>
          <w:szCs w:val="22"/>
        </w:rPr>
        <w:t>by</w:t>
      </w:r>
      <w:r w:rsidR="00C13C62">
        <w:rPr>
          <w:szCs w:val="22"/>
        </w:rPr>
        <w:t xml:space="preserve"> ADHA as a</w:t>
      </w:r>
      <w:r w:rsidR="00D0000E">
        <w:rPr>
          <w:szCs w:val="22"/>
        </w:rPr>
        <w:t>n AMT</w:t>
      </w:r>
      <w:r w:rsidR="00C13C62">
        <w:rPr>
          <w:szCs w:val="22"/>
        </w:rPr>
        <w:t xml:space="preserve"> reference set</w:t>
      </w:r>
      <w:r>
        <w:rPr>
          <w:szCs w:val="22"/>
        </w:rPr>
        <w:t>;</w:t>
      </w:r>
      <w:r w:rsidR="00C13C62" w:rsidRPr="00623AAB">
        <w:rPr>
          <w:szCs w:val="22"/>
        </w:rPr>
        <w:t xml:space="preserve"> </w:t>
      </w:r>
      <w:r w:rsidR="004C2FB7" w:rsidRPr="00623AAB">
        <w:rPr>
          <w:szCs w:val="22"/>
        </w:rPr>
        <w:t>and</w:t>
      </w:r>
    </w:p>
    <w:p w14:paraId="6AE08299" w14:textId="77777777" w:rsidR="001D5B54" w:rsidRPr="00623AAB" w:rsidRDefault="008B3D8A" w:rsidP="00C13C62">
      <w:pPr>
        <w:pStyle w:val="ListParagraph"/>
        <w:numPr>
          <w:ilvl w:val="0"/>
          <w:numId w:val="20"/>
        </w:numPr>
        <w:ind w:left="714" w:hanging="357"/>
        <w:rPr>
          <w:szCs w:val="22"/>
        </w:rPr>
      </w:pPr>
      <w:r>
        <w:rPr>
          <w:szCs w:val="22"/>
        </w:rPr>
        <w:t xml:space="preserve">The </w:t>
      </w:r>
      <w:r w:rsidR="004C2FB7" w:rsidRPr="00623AAB">
        <w:rPr>
          <w:szCs w:val="22"/>
        </w:rPr>
        <w:t>List of Excluded Medicinal Items (LEMI).</w:t>
      </w:r>
    </w:p>
    <w:p w14:paraId="41FF23BD" w14:textId="77777777" w:rsidR="00550658" w:rsidRDefault="00AD1D1C" w:rsidP="00552EDF">
      <w:pPr>
        <w:pStyle w:val="Heading3"/>
      </w:pPr>
      <w:bookmarkStart w:id="25" w:name="_Ref23403294"/>
      <w:bookmarkStart w:id="26" w:name="_Ref23403364"/>
      <w:bookmarkStart w:id="27" w:name="_Toc57702469"/>
      <w:r w:rsidRPr="00AD1D1C">
        <w:t>List of Medicines for Brand Consideration</w:t>
      </w:r>
      <w:r w:rsidRPr="004831C0" w:rsidDel="00AD1D1C">
        <w:t xml:space="preserve"> </w:t>
      </w:r>
      <w:r w:rsidR="008366D7">
        <w:t xml:space="preserve">- </w:t>
      </w:r>
      <w:r w:rsidR="00F75E22" w:rsidRPr="004F1243">
        <w:rPr>
          <w:szCs w:val="24"/>
        </w:rPr>
        <w:t>(</w:t>
      </w:r>
      <w:r w:rsidR="006B7237" w:rsidRPr="0067741B">
        <w:rPr>
          <w:szCs w:val="24"/>
        </w:rPr>
        <w:t>LMBC</w:t>
      </w:r>
      <w:r w:rsidR="00F75E22" w:rsidRPr="0067741B">
        <w:rPr>
          <w:szCs w:val="24"/>
        </w:rPr>
        <w:t>)</w:t>
      </w:r>
      <w:bookmarkEnd w:id="24"/>
      <w:bookmarkEnd w:id="25"/>
      <w:bookmarkEnd w:id="26"/>
      <w:bookmarkEnd w:id="27"/>
    </w:p>
    <w:p w14:paraId="740AE2BF" w14:textId="77777777" w:rsidR="001D5B54" w:rsidRDefault="007C3A30" w:rsidP="002C41C7">
      <w:r>
        <w:t>Th</w:t>
      </w:r>
      <w:r w:rsidR="001D5B54">
        <w:t>is list</w:t>
      </w:r>
      <w:r>
        <w:t xml:space="preserve"> identifies medicines</w:t>
      </w:r>
      <w:r w:rsidR="00430B62">
        <w:t xml:space="preserve"> </w:t>
      </w:r>
      <w:r w:rsidR="00422BD1">
        <w:t xml:space="preserve">for which </w:t>
      </w:r>
      <w:r w:rsidR="0068616D" w:rsidRPr="00104C09">
        <w:t xml:space="preserve">prescribers </w:t>
      </w:r>
      <w:r w:rsidR="0068616D" w:rsidRPr="00230B13">
        <w:rPr>
          <w:u w:val="single"/>
        </w:rPr>
        <w:t>should consider</w:t>
      </w:r>
      <w:r w:rsidR="0068616D" w:rsidRPr="00104C09">
        <w:t xml:space="preserve"> </w:t>
      </w:r>
      <w:r w:rsidR="00585CD4">
        <w:t>if</w:t>
      </w:r>
      <w:r w:rsidR="00585CD4" w:rsidRPr="00104C09">
        <w:t xml:space="preserve"> </w:t>
      </w:r>
      <w:r w:rsidR="00550658">
        <w:t xml:space="preserve">the </w:t>
      </w:r>
      <w:r w:rsidR="000A458A">
        <w:t xml:space="preserve">inclusion of the </w:t>
      </w:r>
      <w:r w:rsidR="0068616D" w:rsidRPr="00104C09">
        <w:t xml:space="preserve">brand name on </w:t>
      </w:r>
      <w:r w:rsidR="00550658">
        <w:t xml:space="preserve">the </w:t>
      </w:r>
      <w:r w:rsidR="0068616D" w:rsidRPr="00104C09">
        <w:t xml:space="preserve">prescription </w:t>
      </w:r>
      <w:r w:rsidR="00585CD4">
        <w:t>is necessary for their patient.</w:t>
      </w:r>
    </w:p>
    <w:p w14:paraId="60A9B877" w14:textId="3280F280" w:rsidR="006A1347" w:rsidRDefault="004F1243" w:rsidP="002C41C7">
      <w:r>
        <w:t>A</w:t>
      </w:r>
      <w:r w:rsidR="001D5B54">
        <w:t xml:space="preserve"> drug</w:t>
      </w:r>
      <w:r>
        <w:t>’s inclusion</w:t>
      </w:r>
      <w:r w:rsidR="001D5B54">
        <w:t xml:space="preserve"> </w:t>
      </w:r>
      <w:r w:rsidR="004831C0">
        <w:t xml:space="preserve">on the </w:t>
      </w:r>
      <w:r w:rsidR="00585CD4">
        <w:t xml:space="preserve">LMBC </w:t>
      </w:r>
      <w:r w:rsidR="004831C0" w:rsidRPr="00C66A02">
        <w:t xml:space="preserve">is </w:t>
      </w:r>
      <w:r w:rsidR="00187C8A">
        <w:t>intended</w:t>
      </w:r>
      <w:r w:rsidR="004831C0" w:rsidRPr="00C66A02">
        <w:t xml:space="preserve"> </w:t>
      </w:r>
      <w:r w:rsidR="003A01E3">
        <w:t>as a guide</w:t>
      </w:r>
      <w:r w:rsidR="001D5B54">
        <w:t xml:space="preserve"> </w:t>
      </w:r>
      <w:r w:rsidR="008E4A7F">
        <w:t xml:space="preserve">to support clinical decision making </w:t>
      </w:r>
      <w:r w:rsidR="00A622A9">
        <w:t>only and</w:t>
      </w:r>
      <w:r w:rsidR="006C54F5">
        <w:t xml:space="preserve"> is not to be used as an absolute dictum which prescribers must follow</w:t>
      </w:r>
      <w:r w:rsidR="008E4A7F">
        <w:t>.</w:t>
      </w:r>
    </w:p>
    <w:p w14:paraId="6A168977" w14:textId="77777777" w:rsidR="00BF343B" w:rsidRDefault="008E4A7F" w:rsidP="002C41C7">
      <w:r>
        <w:t>T</w:t>
      </w:r>
      <w:r w:rsidR="007C3A30">
        <w:t>he</w:t>
      </w:r>
      <w:r w:rsidR="00BF343B">
        <w:t xml:space="preserve"> decision to</w:t>
      </w:r>
      <w:r w:rsidR="007C3A30">
        <w:t xml:space="preserve"> </w:t>
      </w:r>
      <w:r w:rsidR="00BF343B">
        <w:t xml:space="preserve">include a brand name on a prescription </w:t>
      </w:r>
      <w:r w:rsidR="00BF343B" w:rsidRPr="00BF343B">
        <w:rPr>
          <w:u w:val="single"/>
        </w:rPr>
        <w:t>for any drug</w:t>
      </w:r>
      <w:r w:rsidR="00BF343B">
        <w:t xml:space="preserve"> </w:t>
      </w:r>
      <w:r w:rsidR="00751863">
        <w:t>w</w:t>
      </w:r>
      <w:r w:rsidR="001628D5">
        <w:t xml:space="preserve">ill be </w:t>
      </w:r>
      <w:r w:rsidR="00BF343B">
        <w:rPr>
          <w:u w:val="single"/>
        </w:rPr>
        <w:t>made</w:t>
      </w:r>
      <w:r w:rsidR="004831C0" w:rsidRPr="008366D7">
        <w:rPr>
          <w:u w:val="single"/>
        </w:rPr>
        <w:t xml:space="preserve"> by the prescribe</w:t>
      </w:r>
      <w:r w:rsidR="00BF343B">
        <w:rPr>
          <w:u w:val="single"/>
        </w:rPr>
        <w:t>r</w:t>
      </w:r>
      <w:r w:rsidR="00BF343B">
        <w:t xml:space="preserve"> based </w:t>
      </w:r>
      <w:r w:rsidR="004831C0">
        <w:t xml:space="preserve">on </w:t>
      </w:r>
      <w:r w:rsidR="004831C0" w:rsidRPr="00C66A02">
        <w:t>the appropriate clinical outcome</w:t>
      </w:r>
      <w:r w:rsidR="004831C0">
        <w:t xml:space="preserve"> for the patient</w:t>
      </w:r>
      <w:r w:rsidR="00BF343B">
        <w:t>.</w:t>
      </w:r>
    </w:p>
    <w:p w14:paraId="7DA48B12" w14:textId="6FAA93D8" w:rsidR="00026BA2" w:rsidRDefault="00026BA2" w:rsidP="002C41C7">
      <w:r w:rsidRPr="00671AAA">
        <w:rPr>
          <w:u w:val="single"/>
        </w:rPr>
        <w:t>Note</w:t>
      </w:r>
      <w:r w:rsidR="003F0390">
        <w:t>:</w:t>
      </w:r>
    </w:p>
    <w:p w14:paraId="2C782082" w14:textId="77777777" w:rsidR="006C54F5" w:rsidRDefault="006C54F5" w:rsidP="006C54F5">
      <w:pPr>
        <w:pStyle w:val="ListParagraph"/>
        <w:numPr>
          <w:ilvl w:val="0"/>
          <w:numId w:val="6"/>
        </w:numPr>
      </w:pPr>
      <w:r>
        <w:t xml:space="preserve">The </w:t>
      </w:r>
      <w:r w:rsidR="00585CD4">
        <w:t xml:space="preserve">LMBC </w:t>
      </w:r>
      <w:r>
        <w:t xml:space="preserve">list will </w:t>
      </w:r>
      <w:r w:rsidRPr="00104C09">
        <w:t xml:space="preserve">be </w:t>
      </w:r>
      <w:r>
        <w:t>distributed</w:t>
      </w:r>
      <w:r w:rsidRPr="00104C09">
        <w:t xml:space="preserve"> </w:t>
      </w:r>
      <w:r>
        <w:t xml:space="preserve">by ADHA </w:t>
      </w:r>
      <w:r w:rsidRPr="00104C09">
        <w:t xml:space="preserve">via an AMT </w:t>
      </w:r>
      <w:r>
        <w:t>R</w:t>
      </w:r>
      <w:r w:rsidRPr="00104C09">
        <w:t xml:space="preserve">eference </w:t>
      </w:r>
      <w:r>
        <w:t>S</w:t>
      </w:r>
      <w:r w:rsidRPr="00104C09">
        <w:t>et</w:t>
      </w:r>
      <w:r>
        <w:t xml:space="preserve">, </w:t>
      </w:r>
      <w:r w:rsidR="00D5484F">
        <w:t xml:space="preserve">such that items in the list are identified via their </w:t>
      </w:r>
      <w:r>
        <w:t>MPP AMT</w:t>
      </w:r>
      <w:r w:rsidR="006722F9">
        <w:t xml:space="preserve"> Id </w:t>
      </w:r>
      <w:r w:rsidR="004C2FB7">
        <w:t xml:space="preserve">in </w:t>
      </w:r>
      <w:r w:rsidR="00FA06FF">
        <w:t>the same</w:t>
      </w:r>
      <w:r w:rsidR="004C2FB7">
        <w:t xml:space="preserve"> format </w:t>
      </w:r>
      <w:r w:rsidR="00FA06FF">
        <w:t xml:space="preserve">as </w:t>
      </w:r>
      <w:r w:rsidR="004C2FB7">
        <w:t>the controlled drugs AMT reference set (developed for Real Time Prescription Monitoring</w:t>
      </w:r>
      <w:r w:rsidR="00252A9F">
        <w:t xml:space="preserve"> - RTPM</w:t>
      </w:r>
      <w:r w:rsidR="004C2FB7">
        <w:t>).</w:t>
      </w:r>
    </w:p>
    <w:p w14:paraId="1783F585" w14:textId="77777777" w:rsidR="00026BA2" w:rsidRDefault="00026BA2" w:rsidP="00B400FF">
      <w:pPr>
        <w:pStyle w:val="ListParagraph"/>
        <w:numPr>
          <w:ilvl w:val="0"/>
          <w:numId w:val="6"/>
        </w:numPr>
      </w:pPr>
      <w:r>
        <w:t>The monthly PBS</w:t>
      </w:r>
      <w:r w:rsidR="00B41692">
        <w:t>/RPBS</w:t>
      </w:r>
      <w:r>
        <w:t xml:space="preserve"> data released by PharmCIS</w:t>
      </w:r>
      <w:r>
        <w:rPr>
          <w:rStyle w:val="FootnoteReference"/>
        </w:rPr>
        <w:footnoteReference w:id="9"/>
      </w:r>
      <w:r w:rsidR="00BB1DDE">
        <w:t xml:space="preserve"> </w:t>
      </w:r>
      <w:r>
        <w:t xml:space="preserve">includes a text file </w:t>
      </w:r>
      <w:r w:rsidR="00E34062">
        <w:t xml:space="preserve">"amt_ccyymm01.txt" </w:t>
      </w:r>
      <w:r w:rsidR="00B41692">
        <w:t>containing</w:t>
      </w:r>
      <w:r>
        <w:t xml:space="preserve"> the MPP AMT identifiers for all PBS</w:t>
      </w:r>
      <w:r w:rsidR="00B41692">
        <w:t>/RPBS</w:t>
      </w:r>
      <w:r>
        <w:t xml:space="preserve"> drugs.</w:t>
      </w:r>
    </w:p>
    <w:p w14:paraId="3C6E9E12" w14:textId="77777777" w:rsidR="00DA5F59" w:rsidRDefault="00DA5F59">
      <w:pPr>
        <w:spacing w:before="0"/>
      </w:pPr>
      <w:r>
        <w:br w:type="page"/>
      </w:r>
    </w:p>
    <w:p w14:paraId="7AB2FF90" w14:textId="77777777" w:rsidR="004A074C" w:rsidRDefault="006722F9" w:rsidP="004A074C">
      <w:pPr>
        <w:pStyle w:val="Heading3"/>
      </w:pPr>
      <w:bookmarkStart w:id="28" w:name="_Ref31390892"/>
      <w:bookmarkStart w:id="29" w:name="_Toc57702470"/>
      <w:r>
        <w:lastRenderedPageBreak/>
        <w:t>Considerations fo</w:t>
      </w:r>
      <w:r w:rsidR="00C51785">
        <w:t xml:space="preserve">r Prescribing </w:t>
      </w:r>
      <w:r w:rsidR="00585CD4">
        <w:t xml:space="preserve">LMBC </w:t>
      </w:r>
      <w:r>
        <w:t>Drugs</w:t>
      </w:r>
      <w:bookmarkEnd w:id="28"/>
      <w:bookmarkEnd w:id="29"/>
    </w:p>
    <w:p w14:paraId="40032E26" w14:textId="1CF81A4B" w:rsidR="006722F9" w:rsidRDefault="006722F9" w:rsidP="006722F9">
      <w:bookmarkStart w:id="30" w:name="_Ref23353667"/>
      <w:r>
        <w:t xml:space="preserve">Where an </w:t>
      </w:r>
      <w:r w:rsidR="00585CD4">
        <w:t xml:space="preserve">LMBC </w:t>
      </w:r>
      <w:r w:rsidR="003F0390">
        <w:t>item has been selected:</w:t>
      </w:r>
    </w:p>
    <w:p w14:paraId="550E44F1" w14:textId="77777777" w:rsidR="006722F9" w:rsidRDefault="006722F9" w:rsidP="006722F9">
      <w:pPr>
        <w:pStyle w:val="ListParagraph"/>
        <w:numPr>
          <w:ilvl w:val="0"/>
          <w:numId w:val="16"/>
        </w:numPr>
      </w:pPr>
      <w:r>
        <w:t>and the prescriber has NOT intentionally nominated a brand</w:t>
      </w:r>
    </w:p>
    <w:p w14:paraId="1F77A2ED" w14:textId="4625EA4F" w:rsidR="006722F9" w:rsidRDefault="006722F9" w:rsidP="006722F9">
      <w:pPr>
        <w:pStyle w:val="ListParagraph"/>
        <w:numPr>
          <w:ilvl w:val="0"/>
          <w:numId w:val="16"/>
        </w:numPr>
      </w:pPr>
      <w:r>
        <w:t xml:space="preserve">and the prescriber has not been </w:t>
      </w:r>
      <w:r w:rsidR="001F47C6">
        <w:t xml:space="preserve">previously prompted </w:t>
      </w:r>
      <w:r w:rsidR="00C51785">
        <w:t xml:space="preserve">during this prescribing event </w:t>
      </w:r>
      <w:r>
        <w:t>to consider including a brand</w:t>
      </w:r>
      <w:r w:rsidR="001B404C">
        <w:t>;</w:t>
      </w:r>
    </w:p>
    <w:p w14:paraId="4BB21B9D" w14:textId="77777777" w:rsidR="006722F9" w:rsidRDefault="006A1347" w:rsidP="00DA5F59">
      <w:pPr>
        <w:ind w:left="360"/>
      </w:pPr>
      <w:r>
        <w:t xml:space="preserve">the </w:t>
      </w:r>
      <w:r w:rsidR="006722F9">
        <w:t xml:space="preserve">software </w:t>
      </w:r>
      <w:bookmarkStart w:id="31" w:name="_Hlk33024654"/>
      <w:r w:rsidR="00130BFA" w:rsidRPr="00D8475E">
        <w:t>should</w:t>
      </w:r>
      <w:r w:rsidR="00585CD4">
        <w:t xml:space="preserve"> </w:t>
      </w:r>
      <w:r w:rsidR="006722F9">
        <w:t xml:space="preserve">prompt the prescriber to consider </w:t>
      </w:r>
      <w:r w:rsidR="00585CD4">
        <w:t>if</w:t>
      </w:r>
      <w:r w:rsidR="00585CD4" w:rsidRPr="00104C09">
        <w:t xml:space="preserve"> </w:t>
      </w:r>
      <w:r w:rsidR="00585CD4">
        <w:t xml:space="preserve">the </w:t>
      </w:r>
      <w:r w:rsidR="000A458A">
        <w:t xml:space="preserve">inclusion of the </w:t>
      </w:r>
      <w:r w:rsidR="00585CD4" w:rsidRPr="00104C09">
        <w:t xml:space="preserve">brand name on </w:t>
      </w:r>
      <w:r w:rsidR="00585CD4">
        <w:t xml:space="preserve">the </w:t>
      </w:r>
      <w:r w:rsidR="00585CD4" w:rsidRPr="00104C09">
        <w:t xml:space="preserve">prescription </w:t>
      </w:r>
      <w:r w:rsidR="00585CD4">
        <w:t xml:space="preserve">is necessary </w:t>
      </w:r>
      <w:r w:rsidR="005124AB">
        <w:t>for the clinical treatment of their patient.</w:t>
      </w:r>
      <w:bookmarkEnd w:id="31"/>
    </w:p>
    <w:p w14:paraId="0ADA34C0" w14:textId="77777777" w:rsidR="00D22286" w:rsidRDefault="00A81144" w:rsidP="00D22286">
      <w:pPr>
        <w:pStyle w:val="Heading3"/>
      </w:pPr>
      <w:bookmarkStart w:id="32" w:name="_Ref57701127"/>
      <w:bookmarkStart w:id="33" w:name="_Toc57702471"/>
      <w:r>
        <w:t>Difference between RLDBI and LMBC</w:t>
      </w:r>
      <w:bookmarkEnd w:id="32"/>
      <w:bookmarkEnd w:id="33"/>
    </w:p>
    <w:p w14:paraId="70264DA3" w14:textId="77777777" w:rsidR="004710FA" w:rsidRPr="000F4F9D" w:rsidRDefault="004710FA" w:rsidP="004710FA">
      <w:r>
        <w:t xml:space="preserve">In prior versions of the VRD this concept was previously described by the acronym "RLDBI" (Recommended list </w:t>
      </w:r>
      <w:r w:rsidR="008B3D8A">
        <w:t>of</w:t>
      </w:r>
      <w:r>
        <w:t xml:space="preserve"> drug</w:t>
      </w:r>
      <w:r w:rsidR="008B3D8A">
        <w:t>s for</w:t>
      </w:r>
      <w:r>
        <w:t xml:space="preserve"> brand inclusion).</w:t>
      </w:r>
      <w:r w:rsidR="008B3D8A">
        <w:t xml:space="preserve"> It </w:t>
      </w:r>
      <w:r w:rsidR="000F4F9D">
        <w:t>has since been determined</w:t>
      </w:r>
      <w:r w:rsidR="008B3D8A">
        <w:t xml:space="preserve"> that, as there are many scenarios </w:t>
      </w:r>
      <w:r w:rsidR="000F4F9D">
        <w:t>in which</w:t>
      </w:r>
      <w:r w:rsidR="008B3D8A">
        <w:t xml:space="preserve"> it would be appropriate to prescribe t</w:t>
      </w:r>
      <w:r w:rsidR="00186703">
        <w:t>hese items by active ingredient</w:t>
      </w:r>
      <w:r w:rsidR="00D0000E">
        <w:t xml:space="preserve"> without brand</w:t>
      </w:r>
      <w:r w:rsidR="008B3D8A">
        <w:t xml:space="preserve"> </w:t>
      </w:r>
      <w:r w:rsidR="00186703">
        <w:t>(</w:t>
      </w:r>
      <w:r w:rsidR="008B3D8A">
        <w:t xml:space="preserve">particularly for treatment naïve </w:t>
      </w:r>
      <w:r w:rsidR="000F4F9D">
        <w:t>patient</w:t>
      </w:r>
      <w:r w:rsidR="00186703">
        <w:t>s)</w:t>
      </w:r>
      <w:r w:rsidR="00D0000E">
        <w:t>.</w:t>
      </w:r>
      <w:r w:rsidR="000F4F9D">
        <w:t xml:space="preserve"> </w:t>
      </w:r>
      <w:r w:rsidR="00184039">
        <w:t>A</w:t>
      </w:r>
      <w:r w:rsidR="000F4F9D">
        <w:t>ny prompts</w:t>
      </w:r>
      <w:r w:rsidR="00184039">
        <w:t xml:space="preserve"> should</w:t>
      </w:r>
      <w:r w:rsidR="000F4F9D">
        <w:t xml:space="preserve"> </w:t>
      </w:r>
      <w:r w:rsidR="00D0000E">
        <w:t>suggest</w:t>
      </w:r>
      <w:r w:rsidR="000F4F9D">
        <w:t xml:space="preserve"> a prescriber </w:t>
      </w:r>
      <w:r w:rsidR="000F4F9D" w:rsidRPr="00235319">
        <w:rPr>
          <w:b/>
        </w:rPr>
        <w:t>consider</w:t>
      </w:r>
      <w:r w:rsidR="000F4F9D">
        <w:t xml:space="preserve"> the inclusion of brand name on a prescription, if appropriate for their patient. </w:t>
      </w:r>
      <w:r w:rsidR="00184039">
        <w:t xml:space="preserve">There should </w:t>
      </w:r>
      <w:r w:rsidR="00184039" w:rsidRPr="008B40A1">
        <w:rPr>
          <w:b/>
          <w:i/>
        </w:rPr>
        <w:t>not</w:t>
      </w:r>
      <w:r w:rsidR="00184039">
        <w:t xml:space="preserve"> be any prompts that </w:t>
      </w:r>
      <w:r w:rsidR="00184039" w:rsidRPr="00BF343B">
        <w:rPr>
          <w:b/>
        </w:rPr>
        <w:t>recommend</w:t>
      </w:r>
      <w:r w:rsidR="00184039">
        <w:t xml:space="preserve"> the inclusion of a brand name.</w:t>
      </w:r>
    </w:p>
    <w:p w14:paraId="087D66A5" w14:textId="77777777" w:rsidR="0024329C" w:rsidRPr="00BF343B" w:rsidRDefault="0024329C" w:rsidP="001B404C">
      <w:pPr>
        <w:pStyle w:val="Heading3"/>
      </w:pPr>
      <w:bookmarkStart w:id="34" w:name="_Ref31391005"/>
      <w:bookmarkStart w:id="35" w:name="_Ref31456080"/>
      <w:bookmarkStart w:id="36" w:name="_Ref31461319"/>
      <w:bookmarkStart w:id="37" w:name="_Ref31462903"/>
      <w:bookmarkStart w:id="38" w:name="_Toc57702472"/>
      <w:r w:rsidRPr="00BF343B">
        <w:t xml:space="preserve">List of Excluded </w:t>
      </w:r>
      <w:r w:rsidR="004C2FB7" w:rsidRPr="00BF343B">
        <w:t>Medicinal Items (LEMI)</w:t>
      </w:r>
      <w:bookmarkEnd w:id="30"/>
      <w:bookmarkEnd w:id="34"/>
      <w:bookmarkEnd w:id="35"/>
      <w:bookmarkEnd w:id="36"/>
      <w:bookmarkEnd w:id="37"/>
      <w:bookmarkEnd w:id="38"/>
    </w:p>
    <w:p w14:paraId="4DD7884E" w14:textId="77777777" w:rsidR="0007168A" w:rsidRDefault="001628D5" w:rsidP="00D509F4">
      <w:r>
        <w:t>T</w:t>
      </w:r>
      <w:r w:rsidR="0024329C">
        <w:t xml:space="preserve">he </w:t>
      </w:r>
      <w:r w:rsidR="005124AB">
        <w:t xml:space="preserve">Department and the </w:t>
      </w:r>
      <w:r w:rsidR="0024329C">
        <w:t xml:space="preserve">Commission </w:t>
      </w:r>
      <w:r w:rsidR="005124AB">
        <w:t>are</w:t>
      </w:r>
      <w:r w:rsidR="0024329C">
        <w:t xml:space="preserve"> </w:t>
      </w:r>
      <w:r w:rsidR="00751863">
        <w:t xml:space="preserve">also </w:t>
      </w:r>
      <w:r w:rsidR="003E71EC">
        <w:t xml:space="preserve">identifying </w:t>
      </w:r>
      <w:r>
        <w:t xml:space="preserve">a </w:t>
      </w:r>
      <w:r w:rsidR="00701B96">
        <w:t xml:space="preserve">List of Excluded </w:t>
      </w:r>
      <w:r w:rsidR="004C2FB7">
        <w:t>Medicinal Items</w:t>
      </w:r>
      <w:r w:rsidR="003175EC">
        <w:t xml:space="preserve"> (</w:t>
      </w:r>
      <w:r w:rsidR="004C2FB7">
        <w:t>LEMI</w:t>
      </w:r>
      <w:r w:rsidR="003175EC">
        <w:t>)</w:t>
      </w:r>
      <w:r w:rsidR="0007168A">
        <w:t>.</w:t>
      </w:r>
    </w:p>
    <w:p w14:paraId="6094F34C" w14:textId="166BF59C" w:rsidR="00567651" w:rsidRDefault="00567651" w:rsidP="00567651">
      <w:r>
        <w:t xml:space="preserve">The LEMI identifies </w:t>
      </w:r>
      <w:r w:rsidR="006722F9">
        <w:t>drugs</w:t>
      </w:r>
      <w:r w:rsidR="00B648EA">
        <w:t xml:space="preserve"> </w:t>
      </w:r>
      <w:r>
        <w:t xml:space="preserve">which are excluded </w:t>
      </w:r>
      <w:r w:rsidR="00B648EA">
        <w:t xml:space="preserve">under the AIP legislation </w:t>
      </w:r>
      <w:r>
        <w:t xml:space="preserve">from the mandated requirement to </w:t>
      </w:r>
      <w:r w:rsidR="000C13C3">
        <w:t xml:space="preserve">include </w:t>
      </w:r>
      <w:r>
        <w:t>the active ingredient names(s) on the prescription</w:t>
      </w:r>
      <w:r w:rsidR="000A458A">
        <w:t>,</w:t>
      </w:r>
      <w:r>
        <w:t xml:space="preserve"> and </w:t>
      </w:r>
      <w:r w:rsidR="0096403A">
        <w:t>which</w:t>
      </w:r>
      <w:r>
        <w:t xml:space="preserve"> </w:t>
      </w:r>
      <w:r w:rsidR="004A074C">
        <w:t xml:space="preserve">therefore </w:t>
      </w:r>
      <w:r w:rsidRPr="001628D5">
        <w:t xml:space="preserve">may be </w:t>
      </w:r>
      <w:r>
        <w:t>pr</w:t>
      </w:r>
      <w:r w:rsidRPr="001628D5">
        <w:t xml:space="preserve">escribed by </w:t>
      </w:r>
      <w:r w:rsidR="00B648EA">
        <w:t xml:space="preserve">the </w:t>
      </w:r>
      <w:r w:rsidRPr="00751863">
        <w:rPr>
          <w:u w:val="single"/>
        </w:rPr>
        <w:t>brand name only</w:t>
      </w:r>
      <w:r w:rsidRPr="001628D5">
        <w:t>.</w:t>
      </w:r>
    </w:p>
    <w:p w14:paraId="4D469814" w14:textId="77777777" w:rsidR="0086287A" w:rsidRPr="0086287A" w:rsidRDefault="0086287A" w:rsidP="001B404C">
      <w:pPr>
        <w:pStyle w:val="Heading3"/>
      </w:pPr>
      <w:bookmarkStart w:id="39" w:name="_Toc57702473"/>
      <w:r w:rsidRPr="0086287A">
        <w:t>Clarification of Reference Set Status for LEMI:</w:t>
      </w:r>
      <w:bookmarkEnd w:id="39"/>
    </w:p>
    <w:p w14:paraId="28451F91" w14:textId="77777777" w:rsidR="00567651" w:rsidRDefault="00567651" w:rsidP="00567651">
      <w:r>
        <w:t xml:space="preserve">As these drugs are </w:t>
      </w:r>
      <w:r w:rsidR="002859EE">
        <w:t xml:space="preserve">specifically nominated by the legislation or identifiable by </w:t>
      </w:r>
      <w:r>
        <w:t>the classes, general terminology or the scenarios under which their prescribing occurs</w:t>
      </w:r>
      <w:r w:rsidR="0086287A">
        <w:t>, t</w:t>
      </w:r>
      <w:r w:rsidR="00C51785">
        <w:t xml:space="preserve">he LEMI drugs </w:t>
      </w:r>
      <w:r w:rsidR="00AA066C">
        <w:t xml:space="preserve">are </w:t>
      </w:r>
      <w:r w:rsidRPr="0086287A">
        <w:rPr>
          <w:u w:val="single"/>
        </w:rPr>
        <w:t>not subject</w:t>
      </w:r>
      <w:r>
        <w:t xml:space="preserve"> to individual </w:t>
      </w:r>
      <w:r w:rsidR="002859EE">
        <w:t xml:space="preserve">MPP </w:t>
      </w:r>
      <w:r>
        <w:t xml:space="preserve">identification </w:t>
      </w:r>
      <w:r w:rsidR="002859EE">
        <w:t>v</w:t>
      </w:r>
      <w:r>
        <w:t xml:space="preserve">ia an AMT </w:t>
      </w:r>
      <w:r w:rsidR="00E32AD3">
        <w:t>r</w:t>
      </w:r>
      <w:r>
        <w:t xml:space="preserve">eference </w:t>
      </w:r>
      <w:r w:rsidR="00E32AD3">
        <w:t>s</w:t>
      </w:r>
      <w:r>
        <w:t>et.</w:t>
      </w:r>
    </w:p>
    <w:p w14:paraId="7ED8D184" w14:textId="3581C1A3" w:rsidR="00E32AD3" w:rsidRDefault="00E84B2B" w:rsidP="00E32AD3">
      <w:r>
        <w:t xml:space="preserve">Please refer to </w:t>
      </w:r>
      <w:r w:rsidRPr="00230B13">
        <w:rPr>
          <w:u w:val="single"/>
        </w:rPr>
        <w:t xml:space="preserve">section </w:t>
      </w:r>
      <w:r w:rsidR="004D70AA" w:rsidRPr="00230B13">
        <w:rPr>
          <w:u w:val="single"/>
        </w:rPr>
        <w:fldChar w:fldCharType="begin"/>
      </w:r>
      <w:r w:rsidR="004D70AA" w:rsidRPr="00230B13">
        <w:rPr>
          <w:u w:val="single"/>
        </w:rPr>
        <w:instrText xml:space="preserve"> REF _Ref25860092 \r \h </w:instrText>
      </w:r>
      <w:r w:rsidR="00230B13">
        <w:rPr>
          <w:u w:val="single"/>
        </w:rPr>
        <w:instrText xml:space="preserve"> \* MERGEFORMAT </w:instrText>
      </w:r>
      <w:r w:rsidR="004D70AA" w:rsidRPr="00230B13">
        <w:rPr>
          <w:u w:val="single"/>
        </w:rPr>
      </w:r>
      <w:r w:rsidR="004D70AA" w:rsidRPr="00230B13">
        <w:rPr>
          <w:u w:val="single"/>
        </w:rPr>
        <w:fldChar w:fldCharType="separate"/>
      </w:r>
      <w:r w:rsidR="005B1F80">
        <w:rPr>
          <w:u w:val="single"/>
        </w:rPr>
        <w:t>6</w:t>
      </w:r>
      <w:r w:rsidR="004D70AA" w:rsidRPr="00230B13">
        <w:rPr>
          <w:u w:val="single"/>
        </w:rPr>
        <w:fldChar w:fldCharType="end"/>
      </w:r>
      <w:r>
        <w:t xml:space="preserve"> for an explanation of the prescribing rules and </w:t>
      </w:r>
      <w:r w:rsidR="00BF343B">
        <w:t>situations that</w:t>
      </w:r>
      <w:r>
        <w:t xml:space="preserve"> are covered by these exclusions</w:t>
      </w:r>
      <w:r w:rsidR="00054E46">
        <w:t xml:space="preserve"> </w:t>
      </w:r>
      <w:r w:rsidR="00E32AD3">
        <w:t xml:space="preserve">where </w:t>
      </w:r>
      <w:r w:rsidR="00054E46">
        <w:t xml:space="preserve">the </w:t>
      </w:r>
      <w:r w:rsidR="00E32AD3">
        <w:t xml:space="preserve">drug prescribed may be </w:t>
      </w:r>
      <w:r w:rsidR="005124AB">
        <w:t>identified</w:t>
      </w:r>
      <w:r w:rsidR="00E32AD3">
        <w:t xml:space="preserve"> </w:t>
      </w:r>
      <w:r w:rsidR="005124AB">
        <w:t xml:space="preserve">by </w:t>
      </w:r>
      <w:r w:rsidR="00E32AD3">
        <w:t xml:space="preserve">the </w:t>
      </w:r>
      <w:r w:rsidR="00E32AD3" w:rsidRPr="00751863">
        <w:rPr>
          <w:u w:val="single"/>
        </w:rPr>
        <w:t>brand name only</w:t>
      </w:r>
      <w:r w:rsidR="00E32AD3">
        <w:t>.</w:t>
      </w:r>
    </w:p>
    <w:p w14:paraId="5EEABEF8" w14:textId="7A5383EE" w:rsidR="00B03020" w:rsidRPr="008D0693" w:rsidRDefault="00B03020" w:rsidP="00B03020">
      <w:pPr>
        <w:pStyle w:val="Heading3"/>
      </w:pPr>
      <w:bookmarkStart w:id="40" w:name="_Toc57702474"/>
      <w:r w:rsidRPr="008D0693">
        <w:t>Incorporation of best practice guidelines and clinical decision making support within prescribing software</w:t>
      </w:r>
      <w:bookmarkEnd w:id="40"/>
    </w:p>
    <w:p w14:paraId="6EAD2069" w14:textId="10C4B41D" w:rsidR="0069390B" w:rsidRPr="008D0693" w:rsidRDefault="0069390B" w:rsidP="002C41C7">
      <w:r w:rsidRPr="008D0693">
        <w:t xml:space="preserve">Prescribing software vendors </w:t>
      </w:r>
      <w:r w:rsidR="00130BFA" w:rsidRPr="00D8475E">
        <w:t>should</w:t>
      </w:r>
      <w:r w:rsidRPr="008D0693">
        <w:t xml:space="preserve"> </w:t>
      </w:r>
      <w:r w:rsidR="008D0693">
        <w:t>support clinical decision-</w:t>
      </w:r>
      <w:r w:rsidRPr="008D0693">
        <w:t xml:space="preserve">making and patient safety by incorporating </w:t>
      </w:r>
      <w:r w:rsidR="008D0693" w:rsidRPr="008D0693">
        <w:t>the Guidelines</w:t>
      </w:r>
      <w:r w:rsidR="008D0693" w:rsidRPr="008D0693">
        <w:rPr>
          <w:b/>
          <w:bCs/>
        </w:rPr>
        <w:t xml:space="preserve"> </w:t>
      </w:r>
      <w:r w:rsidR="008D0693" w:rsidRPr="008D0693">
        <w:t>for Active Ingredient Prescribing</w:t>
      </w:r>
      <w:r w:rsidR="00643505">
        <w:t>,</w:t>
      </w:r>
      <w:r w:rsidR="00DF409B">
        <w:t xml:space="preserve"> </w:t>
      </w:r>
      <w:r w:rsidR="00D24E20">
        <w:t>LMBC</w:t>
      </w:r>
      <w:r w:rsidR="008D0693" w:rsidRPr="008D0693">
        <w:t xml:space="preserve"> </w:t>
      </w:r>
      <w:r w:rsidR="002679B3">
        <w:t xml:space="preserve">and </w:t>
      </w:r>
      <w:r w:rsidR="00546478">
        <w:t>LEMI</w:t>
      </w:r>
      <w:r w:rsidR="00643505">
        <w:t>.</w:t>
      </w:r>
    </w:p>
    <w:p w14:paraId="02C140B4" w14:textId="77777777" w:rsidR="003068B1" w:rsidRDefault="003068B1" w:rsidP="002C41C7">
      <w:pPr>
        <w:pStyle w:val="Heading2"/>
      </w:pPr>
      <w:bookmarkStart w:id="41" w:name="_Toc57702475"/>
      <w:r>
        <w:t>Communications Support</w:t>
      </w:r>
      <w:bookmarkEnd w:id="41"/>
    </w:p>
    <w:p w14:paraId="4ADBE3E0" w14:textId="3C5B526F" w:rsidR="0099058F" w:rsidRDefault="005F5F30" w:rsidP="002C41C7">
      <w:r>
        <w:t>The Department</w:t>
      </w:r>
      <w:r w:rsidR="00546478">
        <w:t xml:space="preserve"> </w:t>
      </w:r>
      <w:r w:rsidR="006C0239">
        <w:t>has committed to undertake</w:t>
      </w:r>
      <w:r>
        <w:t xml:space="preserve"> communicat</w:t>
      </w:r>
      <w:r w:rsidR="006C0239">
        <w:t xml:space="preserve">ion and education activities with the medical industry </w:t>
      </w:r>
      <w:r w:rsidR="0098043E">
        <w:t xml:space="preserve">and consumer awareness </w:t>
      </w:r>
      <w:r w:rsidR="006C0239">
        <w:t xml:space="preserve">to </w:t>
      </w:r>
      <w:r>
        <w:t>support</w:t>
      </w:r>
      <w:r w:rsidR="006C0239">
        <w:t xml:space="preserve"> the implementation </w:t>
      </w:r>
      <w:r w:rsidR="000A458A">
        <w:t>of AIP</w:t>
      </w:r>
      <w:r w:rsidR="006C0239">
        <w:t xml:space="preserve"> changes</w:t>
      </w:r>
      <w:r w:rsidR="003F0390">
        <w:t>.</w:t>
      </w:r>
    </w:p>
    <w:p w14:paraId="70C1E1D7" w14:textId="77777777" w:rsidR="00186CB3" w:rsidRDefault="0099058F" w:rsidP="002C41C7">
      <w:r>
        <w:lastRenderedPageBreak/>
        <w:t>The Department has engaged NPS MedicineWise to facilitate communication and education activities for prescribers</w:t>
      </w:r>
      <w:r w:rsidR="00C57793">
        <w:t xml:space="preserve"> and consumers.</w:t>
      </w:r>
    </w:p>
    <w:p w14:paraId="5901E14D" w14:textId="48EA1B27" w:rsidR="009F1F88" w:rsidRDefault="0099058F" w:rsidP="002C41C7">
      <w:r>
        <w:t xml:space="preserve">The Generic and Biosimilar Medicines Association (GBMA), </w:t>
      </w:r>
      <w:r w:rsidR="003175EC">
        <w:t xml:space="preserve">Australian Medical Association (AMA), </w:t>
      </w:r>
      <w:r>
        <w:t xml:space="preserve">Medicines Australia (MA), Royal Australian College of General Practitioners, Consumers Health Forum of Australia, Pharmaceutical Society of Australia, Society of Hospital Pharmacies Australia and the Australian College of Rural and Remote Medicines have also agreed to facilitate </w:t>
      </w:r>
      <w:r w:rsidR="003F0390">
        <w:t>communication to their members.</w:t>
      </w:r>
    </w:p>
    <w:p w14:paraId="382D2BE7" w14:textId="77777777" w:rsidR="004831C0" w:rsidRPr="0099058F" w:rsidRDefault="003068B1" w:rsidP="009F1F88">
      <w:pPr>
        <w:pStyle w:val="Heading2"/>
      </w:pPr>
      <w:bookmarkStart w:id="42" w:name="_Toc57702476"/>
      <w:r w:rsidRPr="0099058F">
        <w:t>Pharmacy Dispensing Vendors</w:t>
      </w:r>
      <w:bookmarkEnd w:id="42"/>
    </w:p>
    <w:p w14:paraId="37FA0A18" w14:textId="77777777" w:rsidR="003068B1" w:rsidRDefault="003068B1" w:rsidP="002C41C7">
      <w:r w:rsidRPr="00104C09">
        <w:t xml:space="preserve">In addition to the </w:t>
      </w:r>
      <w:r>
        <w:t>support provided to</w:t>
      </w:r>
      <w:r w:rsidRPr="00104C09">
        <w:t xml:space="preserve"> prescribing software vendors, MSIA </w:t>
      </w:r>
      <w:r>
        <w:t xml:space="preserve">will be in </w:t>
      </w:r>
      <w:r w:rsidRPr="00104C09">
        <w:t xml:space="preserve">communication with the dispensing vendors during </w:t>
      </w:r>
      <w:r>
        <w:t xml:space="preserve">the </w:t>
      </w:r>
      <w:r w:rsidRPr="00104C09">
        <w:t>implementation</w:t>
      </w:r>
      <w:r>
        <w:t>. However</w:t>
      </w:r>
      <w:r w:rsidR="00187C8A">
        <w:t>,</w:t>
      </w:r>
      <w:r>
        <w:t xml:space="preserve"> it is noted that pharmacy dispensing software generally supports the AIP requirements.</w:t>
      </w:r>
    </w:p>
    <w:p w14:paraId="0E621802" w14:textId="77777777" w:rsidR="00D448DF" w:rsidRDefault="00DA6C70" w:rsidP="002C41C7">
      <w:pPr>
        <w:pStyle w:val="Heading1"/>
      </w:pPr>
      <w:bookmarkStart w:id="43" w:name="_Ref15968140"/>
      <w:bookmarkStart w:id="44" w:name="_Ref31463517"/>
      <w:bookmarkStart w:id="45" w:name="_Toc57702477"/>
      <w:r w:rsidRPr="002C41C7">
        <w:t>Guidelines</w:t>
      </w:r>
      <w:r>
        <w:t xml:space="preserve"> </w:t>
      </w:r>
      <w:bookmarkEnd w:id="43"/>
      <w:r w:rsidR="007D290A">
        <w:t>for Implementation</w:t>
      </w:r>
      <w:bookmarkEnd w:id="44"/>
      <w:bookmarkEnd w:id="45"/>
    </w:p>
    <w:p w14:paraId="643FBDAC" w14:textId="77777777" w:rsidR="00695FDE" w:rsidRPr="00695FDE" w:rsidRDefault="00E650FE" w:rsidP="002C41C7">
      <w:r>
        <w:t xml:space="preserve">This section re-iterates the implementation of the regulations associated with </w:t>
      </w:r>
      <w:r w:rsidR="00D32425">
        <w:t>common</w:t>
      </w:r>
      <w:r>
        <w:t xml:space="preserve"> prescribing situations.</w:t>
      </w:r>
    </w:p>
    <w:p w14:paraId="7C5C4B1E" w14:textId="77777777" w:rsidR="006E1342" w:rsidRDefault="006E1342" w:rsidP="002C41C7">
      <w:pPr>
        <w:pStyle w:val="Heading2"/>
      </w:pPr>
      <w:bookmarkStart w:id="46" w:name="_Toc57702478"/>
      <w:r>
        <w:t>Reminder of prescriber defaults</w:t>
      </w:r>
      <w:r w:rsidR="000B30C2">
        <w:t xml:space="preserve"> supported by the software</w:t>
      </w:r>
      <w:bookmarkEnd w:id="46"/>
    </w:p>
    <w:p w14:paraId="7BBAC3B8" w14:textId="4C7D47E4" w:rsidR="006963FA" w:rsidRDefault="000737F0" w:rsidP="002C41C7">
      <w:r>
        <w:t>Existing</w:t>
      </w:r>
      <w:r w:rsidR="004649FB">
        <w:t xml:space="preserve"> legislation </w:t>
      </w:r>
      <w:r w:rsidR="006E1342">
        <w:t xml:space="preserve">specifically </w:t>
      </w:r>
      <w:r w:rsidR="008366D7">
        <w:t xml:space="preserve">regulates </w:t>
      </w:r>
      <w:r w:rsidR="00701B96">
        <w:t>that</w:t>
      </w:r>
      <w:r w:rsidR="006E1342">
        <w:t xml:space="preserve"> prescribing computer program</w:t>
      </w:r>
      <w:r w:rsidR="009C06AF">
        <w:t>s</w:t>
      </w:r>
      <w:r w:rsidR="006E1342">
        <w:t xml:space="preserve"> </w:t>
      </w:r>
      <w:r w:rsidR="009C06AF">
        <w:t>can</w:t>
      </w:r>
      <w:r w:rsidR="00701B96">
        <w:t xml:space="preserve"> not </w:t>
      </w:r>
      <w:r w:rsidR="006E1342">
        <w:t>includ</w:t>
      </w:r>
      <w:r w:rsidR="00701B96">
        <w:t>e</w:t>
      </w:r>
      <w:r w:rsidR="006E1342">
        <w:t xml:space="preserve"> a default</w:t>
      </w:r>
      <w:r w:rsidR="00701B96">
        <w:t xml:space="preserve"> </w:t>
      </w:r>
      <w:r w:rsidR="00701B96" w:rsidRPr="00D8475E">
        <w:t xml:space="preserve">to </w:t>
      </w:r>
      <w:r w:rsidR="00130BFA" w:rsidRPr="00D8475E">
        <w:rPr>
          <w:u w:val="single"/>
        </w:rPr>
        <w:t>disallow</w:t>
      </w:r>
      <w:r w:rsidR="00701B96" w:rsidRPr="00D8475E">
        <w:t xml:space="preserve"> </w:t>
      </w:r>
      <w:r w:rsidR="0099058F" w:rsidRPr="00D8475E">
        <w:t>brand</w:t>
      </w:r>
      <w:r w:rsidR="0099058F" w:rsidRPr="006C0239">
        <w:t xml:space="preserve"> substitution</w:t>
      </w:r>
      <w:r w:rsidR="006C0239" w:rsidRPr="006C0239">
        <w:t>.</w:t>
      </w:r>
    </w:p>
    <w:p w14:paraId="46F35391" w14:textId="4A6222B6" w:rsidR="006E1342" w:rsidRDefault="006C0239" w:rsidP="002C41C7">
      <w:r>
        <w:t xml:space="preserve">A similar provision </w:t>
      </w:r>
      <w:r w:rsidR="000737F0">
        <w:t>is</w:t>
      </w:r>
      <w:r>
        <w:t xml:space="preserve"> included in the regulatory amendments for </w:t>
      </w:r>
      <w:r w:rsidR="000F3F11">
        <w:t>AIP and</w:t>
      </w:r>
      <w:r>
        <w:t xml:space="preserve"> </w:t>
      </w:r>
      <w:r w:rsidR="00724B65">
        <w:rPr>
          <w:w w:val="105"/>
          <w:sz w:val="23"/>
        </w:rPr>
        <w:t>prohibit</w:t>
      </w:r>
      <w:r w:rsidR="00BB1DDE">
        <w:rPr>
          <w:w w:val="105"/>
          <w:sz w:val="23"/>
        </w:rPr>
        <w:t>s</w:t>
      </w:r>
      <w:r w:rsidR="00724B65">
        <w:rPr>
          <w:spacing w:val="-6"/>
          <w:w w:val="105"/>
          <w:sz w:val="23"/>
        </w:rPr>
        <w:t xml:space="preserve"> </w:t>
      </w:r>
      <w:r w:rsidR="00724B65">
        <w:rPr>
          <w:w w:val="105"/>
          <w:sz w:val="23"/>
        </w:rPr>
        <w:t>prescribing</w:t>
      </w:r>
      <w:r w:rsidR="00724B65">
        <w:rPr>
          <w:spacing w:val="-10"/>
          <w:w w:val="105"/>
          <w:sz w:val="23"/>
        </w:rPr>
        <w:t xml:space="preserve"> </w:t>
      </w:r>
      <w:r w:rsidR="00724B65">
        <w:rPr>
          <w:w w:val="105"/>
          <w:sz w:val="23"/>
        </w:rPr>
        <w:t>software</w:t>
      </w:r>
      <w:r w:rsidR="00724B65">
        <w:rPr>
          <w:spacing w:val="-15"/>
          <w:w w:val="105"/>
          <w:sz w:val="23"/>
        </w:rPr>
        <w:t xml:space="preserve"> </w:t>
      </w:r>
      <w:r w:rsidR="00724B65">
        <w:rPr>
          <w:w w:val="105"/>
          <w:sz w:val="23"/>
        </w:rPr>
        <w:t>from</w:t>
      </w:r>
      <w:r w:rsidR="00724B65">
        <w:rPr>
          <w:spacing w:val="-7"/>
          <w:w w:val="105"/>
          <w:sz w:val="23"/>
        </w:rPr>
        <w:t xml:space="preserve"> </w:t>
      </w:r>
      <w:r w:rsidR="00724B65" w:rsidRPr="0067741B">
        <w:t>automatically including brand names on prescriptions by default, to ensure doctors make a clinical decision regarding the inclusion of</w:t>
      </w:r>
      <w:r w:rsidR="00BB1DDE" w:rsidRPr="0067741B">
        <w:t xml:space="preserve"> the</w:t>
      </w:r>
      <w:r w:rsidR="00724B65" w:rsidRPr="0067741B">
        <w:t xml:space="preserve"> brand</w:t>
      </w:r>
      <w:r w:rsidR="0099058F" w:rsidRPr="006C0239">
        <w:t>.</w:t>
      </w:r>
      <w:r w:rsidR="00B03020">
        <w:t xml:space="preserve"> (Ref para </w:t>
      </w:r>
      <w:r w:rsidR="00B03020">
        <w:fldChar w:fldCharType="begin"/>
      </w:r>
      <w:r w:rsidR="00B03020">
        <w:instrText xml:space="preserve"> REF _Ref31403397 \r \h </w:instrText>
      </w:r>
      <w:r w:rsidR="00D432C1">
        <w:instrText xml:space="preserve"> \* MERGEFORMAT </w:instrText>
      </w:r>
      <w:r w:rsidR="00B03020">
        <w:fldChar w:fldCharType="separate"/>
      </w:r>
      <w:r w:rsidR="005B1F80">
        <w:t>3.1.2</w:t>
      </w:r>
      <w:r w:rsidR="00B03020">
        <w:fldChar w:fldCharType="end"/>
      </w:r>
      <w:r w:rsidR="00B03020">
        <w:t>)</w:t>
      </w:r>
    </w:p>
    <w:p w14:paraId="7FD9C6E6" w14:textId="77777777" w:rsidR="002F2DC4" w:rsidRDefault="00E32AD3" w:rsidP="002C41C7">
      <w:pPr>
        <w:pStyle w:val="Heading2"/>
      </w:pPr>
      <w:bookmarkStart w:id="47" w:name="_Toc57702479"/>
      <w:r>
        <w:t xml:space="preserve">Scenarios for </w:t>
      </w:r>
      <w:r w:rsidR="002F2DC4">
        <w:t>On Screen Drug Selection</w:t>
      </w:r>
      <w:bookmarkEnd w:id="47"/>
    </w:p>
    <w:p w14:paraId="60B074F7" w14:textId="7E957F85" w:rsidR="002F2DC4" w:rsidRDefault="000B30C2" w:rsidP="002C41C7">
      <w:r>
        <w:t>T</w:t>
      </w:r>
      <w:r w:rsidR="002F2DC4">
        <w:t xml:space="preserve">he </w:t>
      </w:r>
      <w:r w:rsidR="004649FB">
        <w:t>recommendations</w:t>
      </w:r>
      <w:r w:rsidR="002F2DC4">
        <w:t xml:space="preserve"> are </w:t>
      </w:r>
      <w:r w:rsidR="002F2DC4" w:rsidRPr="004649FB">
        <w:rPr>
          <w:u w:val="single"/>
        </w:rPr>
        <w:t>agnostic</w:t>
      </w:r>
      <w:r w:rsidR="002F2DC4">
        <w:t xml:space="preserve"> in terms of the process to be followed when t</w:t>
      </w:r>
      <w:r w:rsidR="003F0390">
        <w:t>he prescriber selects the drug.</w:t>
      </w:r>
    </w:p>
    <w:p w14:paraId="6C841B0B" w14:textId="77777777" w:rsidR="00054E46" w:rsidRDefault="000B30C2" w:rsidP="002C41C7">
      <w:r>
        <w:t>Drug</w:t>
      </w:r>
      <w:r w:rsidR="00636895">
        <w:t>s</w:t>
      </w:r>
      <w:r>
        <w:t xml:space="preserve"> </w:t>
      </w:r>
      <w:r w:rsidR="002F2DC4">
        <w:t xml:space="preserve">may be </w:t>
      </w:r>
      <w:r w:rsidR="00724B65">
        <w:t xml:space="preserve">selected </w:t>
      </w:r>
      <w:r w:rsidR="00B66D13">
        <w:t xml:space="preserve">either </w:t>
      </w:r>
      <w:r w:rsidR="00604F2A">
        <w:t xml:space="preserve">by </w:t>
      </w:r>
      <w:r w:rsidR="002F2DC4">
        <w:t>brand</w:t>
      </w:r>
      <w:r w:rsidR="00170F71">
        <w:t xml:space="preserve"> name</w:t>
      </w:r>
      <w:r w:rsidR="002F2DC4">
        <w:t xml:space="preserve"> or </w:t>
      </w:r>
      <w:r w:rsidR="00724B65">
        <w:t xml:space="preserve">by </w:t>
      </w:r>
      <w:r w:rsidR="00170F71">
        <w:t xml:space="preserve">active </w:t>
      </w:r>
      <w:r w:rsidR="002F2DC4">
        <w:t>ingredient name</w:t>
      </w:r>
      <w:r w:rsidR="00054E46">
        <w:t>.</w:t>
      </w:r>
    </w:p>
    <w:p w14:paraId="230E63BE" w14:textId="77777777" w:rsidR="002F2DC4" w:rsidRPr="00984FEF" w:rsidRDefault="00C51785" w:rsidP="00984FEF">
      <w:pPr>
        <w:pStyle w:val="CCS-Heading3"/>
        <w:rPr>
          <w:rFonts w:ascii="Verdana" w:hAnsi="Verdana"/>
          <w:color w:val="365F91" w:themeColor="accent1" w:themeShade="BF"/>
          <w:sz w:val="24"/>
          <w:szCs w:val="24"/>
        </w:rPr>
      </w:pPr>
      <w:r w:rsidRPr="00984FEF">
        <w:rPr>
          <w:rFonts w:ascii="Verdana" w:hAnsi="Verdana"/>
          <w:color w:val="365F91"/>
          <w:sz w:val="24"/>
          <w:szCs w:val="24"/>
        </w:rPr>
        <w:t>Several s</w:t>
      </w:r>
      <w:r w:rsidR="0033465C" w:rsidRPr="00984FEF">
        <w:rPr>
          <w:rFonts w:ascii="Verdana" w:hAnsi="Verdana"/>
          <w:color w:val="365F91"/>
          <w:sz w:val="24"/>
          <w:szCs w:val="24"/>
        </w:rPr>
        <w:t>cenarios are explored below</w:t>
      </w:r>
      <w:r w:rsidR="006A6441" w:rsidRPr="00984FEF">
        <w:rPr>
          <w:rFonts w:ascii="Verdana" w:hAnsi="Verdana"/>
          <w:color w:val="365F91"/>
          <w:sz w:val="24"/>
          <w:szCs w:val="24"/>
        </w:rPr>
        <w:t>:</w:t>
      </w:r>
    </w:p>
    <w:p w14:paraId="7A15357B" w14:textId="77777777" w:rsidR="00E32AD3" w:rsidRPr="00E32AD3" w:rsidRDefault="00552EDF" w:rsidP="00E32AD3">
      <w:pPr>
        <w:pStyle w:val="Heading3"/>
      </w:pPr>
      <w:bookmarkStart w:id="48" w:name="_Toc57702480"/>
      <w:r w:rsidRPr="00552EDF">
        <w:t>Pre</w:t>
      </w:r>
      <w:r w:rsidR="00391D86">
        <w:t>s</w:t>
      </w:r>
      <w:r w:rsidRPr="00552EDF">
        <w:t xml:space="preserve">criber selects the drug </w:t>
      </w:r>
      <w:r w:rsidRPr="00E32AD3">
        <w:rPr>
          <w:u w:val="single"/>
        </w:rPr>
        <w:t xml:space="preserve">by </w:t>
      </w:r>
      <w:r w:rsidR="00E32AD3">
        <w:rPr>
          <w:u w:val="single"/>
        </w:rPr>
        <w:t>A</w:t>
      </w:r>
      <w:r w:rsidR="00170F71" w:rsidRPr="00E32AD3">
        <w:rPr>
          <w:u w:val="single"/>
        </w:rPr>
        <w:t xml:space="preserve">ctive </w:t>
      </w:r>
      <w:r w:rsidR="00E32AD3">
        <w:rPr>
          <w:u w:val="single"/>
        </w:rPr>
        <w:t>I</w:t>
      </w:r>
      <w:r w:rsidRPr="00E32AD3">
        <w:rPr>
          <w:u w:val="single"/>
        </w:rPr>
        <w:t>ngredient</w:t>
      </w:r>
      <w:bookmarkEnd w:id="48"/>
    </w:p>
    <w:p w14:paraId="1AB19823" w14:textId="6F26E650" w:rsidR="00724B65" w:rsidRDefault="002A336B" w:rsidP="00E32AD3">
      <w:r>
        <w:t xml:space="preserve">As a specific brand has </w:t>
      </w:r>
      <w:r w:rsidR="006D5523">
        <w:t>NOT</w:t>
      </w:r>
      <w:r>
        <w:t xml:space="preserve"> been </w:t>
      </w:r>
      <w:r w:rsidR="006D5523">
        <w:t>selected</w:t>
      </w:r>
      <w:r>
        <w:t>, the</w:t>
      </w:r>
      <w:r w:rsidR="00170F71">
        <w:t xml:space="preserve"> active</w:t>
      </w:r>
      <w:r>
        <w:t xml:space="preserve"> ingredient name(s) </w:t>
      </w:r>
      <w:r w:rsidRPr="00BD60D5">
        <w:rPr>
          <w:u w:val="single"/>
        </w:rPr>
        <w:t>only</w:t>
      </w:r>
      <w:r>
        <w:t xml:space="preserve"> </w:t>
      </w:r>
      <w:r w:rsidR="00C57793">
        <w:t>are to</w:t>
      </w:r>
      <w:r w:rsidR="00724B65">
        <w:t xml:space="preserve"> </w:t>
      </w:r>
      <w:r>
        <w:t>be included</w:t>
      </w:r>
      <w:r w:rsidR="003F0390">
        <w:t xml:space="preserve"> on the prescription.</w:t>
      </w:r>
    </w:p>
    <w:p w14:paraId="2A263249" w14:textId="24AB0782" w:rsidR="00054E46" w:rsidRDefault="00054E46" w:rsidP="00054E46">
      <w:r>
        <w:t xml:space="preserve">However, as detailed in </w:t>
      </w:r>
      <w:r w:rsidR="00230B13">
        <w:t xml:space="preserve">paragraph </w:t>
      </w:r>
      <w:r w:rsidR="00230B13">
        <w:fldChar w:fldCharType="begin"/>
      </w:r>
      <w:r w:rsidR="00230B13">
        <w:instrText xml:space="preserve"> REF _Ref23403294 \r \h </w:instrText>
      </w:r>
      <w:r w:rsidR="00230B13">
        <w:fldChar w:fldCharType="separate"/>
      </w:r>
      <w:r w:rsidR="005B1F80">
        <w:t>4.2.1</w:t>
      </w:r>
      <w:r w:rsidR="00230B13">
        <w:fldChar w:fldCharType="end"/>
      </w:r>
      <w:r w:rsidR="00A622A9">
        <w:t>,</w:t>
      </w:r>
      <w:r w:rsidR="00230B13">
        <w:t xml:space="preserve"> </w:t>
      </w:r>
      <w:r>
        <w:t xml:space="preserve">if the medicine is on the </w:t>
      </w:r>
      <w:r w:rsidR="00D24E20">
        <w:t>LMBC</w:t>
      </w:r>
      <w:r>
        <w:t xml:space="preserve">, the prescribing software </w:t>
      </w:r>
      <w:r w:rsidR="00130BFA" w:rsidRPr="00D8475E">
        <w:t>should</w:t>
      </w:r>
      <w:r w:rsidR="00130BFA">
        <w:t xml:space="preserve"> </w:t>
      </w:r>
      <w:r>
        <w:t xml:space="preserve">prompt the prescriber </w:t>
      </w:r>
      <w:r w:rsidR="00230B13">
        <w:t>"</w:t>
      </w:r>
      <w:r w:rsidR="00230B13" w:rsidRPr="00230B13">
        <w:rPr>
          <w:i/>
          <w:iCs/>
        </w:rPr>
        <w:t>to consider</w:t>
      </w:r>
      <w:r w:rsidR="00230B13">
        <w:t>"</w:t>
      </w:r>
      <w:r>
        <w:t xml:space="preserve"> </w:t>
      </w:r>
      <w:r w:rsidR="00736EBB">
        <w:t xml:space="preserve">if </w:t>
      </w:r>
      <w:r>
        <w:t>the inclusion of the brand</w:t>
      </w:r>
      <w:r w:rsidR="00B6234A">
        <w:t xml:space="preserve"> is clinically appropriate for their patient.</w:t>
      </w:r>
    </w:p>
    <w:p w14:paraId="63D6BD08" w14:textId="3A2823F1" w:rsidR="00D8475E" w:rsidRDefault="00A81144" w:rsidP="00457A7C">
      <w:r>
        <w:t>Where software vendors include a prompt in their software for medicines identified on the LMBC, the prompt should emphasise this distinction</w:t>
      </w:r>
      <w:r w:rsidR="003F0390">
        <w:t>.</w:t>
      </w:r>
    </w:p>
    <w:p w14:paraId="1663DD82" w14:textId="209A8B17" w:rsidR="00A81144" w:rsidRDefault="00F67E57" w:rsidP="00457A7C">
      <w:r w:rsidRPr="00235319">
        <w:rPr>
          <w:u w:val="single"/>
        </w:rPr>
        <w:t>A recommendation is to include the wording</w:t>
      </w:r>
      <w:r>
        <w:t xml:space="preserve"> </w:t>
      </w:r>
      <w:r w:rsidR="00A81144">
        <w:t>‘Is brand name clinically necessary?’, followed by ‘yes’ or ‘no’ options to indicate whether a brand name should be printed.</w:t>
      </w:r>
    </w:p>
    <w:p w14:paraId="1035868B" w14:textId="77777777" w:rsidR="002A336B" w:rsidRPr="00552EDF" w:rsidRDefault="006C54F5" w:rsidP="002A336B">
      <w:pPr>
        <w:pStyle w:val="Heading3"/>
      </w:pPr>
      <w:bookmarkStart w:id="49" w:name="_Toc57702481"/>
      <w:r>
        <w:lastRenderedPageBreak/>
        <w:t xml:space="preserve">According to </w:t>
      </w:r>
      <w:r w:rsidR="00B66D13">
        <w:t xml:space="preserve">the </w:t>
      </w:r>
      <w:r w:rsidR="00356AEB">
        <w:t xml:space="preserve">presentation provided by </w:t>
      </w:r>
      <w:r>
        <w:t>the software vendor</w:t>
      </w:r>
      <w:r w:rsidR="00356AEB">
        <w:t>, t</w:t>
      </w:r>
      <w:r w:rsidR="00170F71">
        <w:t xml:space="preserve">he screen may display the originator brand and </w:t>
      </w:r>
      <w:r w:rsidR="00ED42ED">
        <w:t xml:space="preserve">the </w:t>
      </w:r>
      <w:r w:rsidR="00170F71">
        <w:t xml:space="preserve">generic brands </w:t>
      </w:r>
      <w:r w:rsidR="00ED42ED">
        <w:t xml:space="preserve">if </w:t>
      </w:r>
      <w:r w:rsidR="00170F71">
        <w:t>available.</w:t>
      </w:r>
      <w:bookmarkStart w:id="50" w:name="_Ref17007018"/>
      <w:bookmarkStart w:id="51" w:name="_Ref17018468"/>
      <w:r w:rsidR="008B40A1">
        <w:t xml:space="preserve"> </w:t>
      </w:r>
      <w:r w:rsidR="002A336B" w:rsidRPr="00552EDF">
        <w:t>Pre</w:t>
      </w:r>
      <w:r w:rsidR="00391D86">
        <w:t>s</w:t>
      </w:r>
      <w:r w:rsidR="002A336B" w:rsidRPr="00552EDF">
        <w:t xml:space="preserve">criber selects the drug </w:t>
      </w:r>
      <w:r w:rsidR="002A336B" w:rsidRPr="00B66D13">
        <w:rPr>
          <w:u w:val="single"/>
        </w:rPr>
        <w:t>by Brand</w:t>
      </w:r>
      <w:bookmarkEnd w:id="49"/>
      <w:bookmarkEnd w:id="50"/>
      <w:bookmarkEnd w:id="51"/>
    </w:p>
    <w:p w14:paraId="70772C74" w14:textId="050035FB" w:rsidR="002F2DC4" w:rsidRDefault="007B6E63" w:rsidP="002C41C7">
      <w:r>
        <w:t>T</w:t>
      </w:r>
      <w:r w:rsidR="002F2DC4">
        <w:t xml:space="preserve">he prescription </w:t>
      </w:r>
      <w:r w:rsidR="002F2DC4" w:rsidRPr="002F2DC4">
        <w:rPr>
          <w:u w:val="single"/>
        </w:rPr>
        <w:t>must still include</w:t>
      </w:r>
      <w:r w:rsidR="002F2DC4">
        <w:t xml:space="preserve"> the</w:t>
      </w:r>
      <w:r w:rsidR="00170F71">
        <w:t xml:space="preserve"> active</w:t>
      </w:r>
      <w:r w:rsidR="002F2DC4">
        <w:t xml:space="preserve"> ingredient name(s</w:t>
      </w:r>
      <w:r w:rsidR="00695FDE">
        <w:t>)</w:t>
      </w:r>
      <w:r w:rsidR="0033465C" w:rsidRPr="0033465C">
        <w:t xml:space="preserve"> </w:t>
      </w:r>
      <w:r w:rsidR="0033465C">
        <w:t xml:space="preserve">with the exception of the </w:t>
      </w:r>
      <w:r w:rsidR="00ED42ED">
        <w:t xml:space="preserve">LEMI </w:t>
      </w:r>
      <w:r w:rsidR="0033465C">
        <w:t>items</w:t>
      </w:r>
      <w:r w:rsidR="00054E46" w:rsidRPr="00054E46">
        <w:t xml:space="preserve"> </w:t>
      </w:r>
      <w:r w:rsidR="00054E46">
        <w:t>as described in section</w:t>
      </w:r>
      <w:r w:rsidR="001B404C">
        <w:t xml:space="preserve"> </w:t>
      </w:r>
      <w:bookmarkStart w:id="52" w:name="m1"/>
      <w:bookmarkEnd w:id="52"/>
      <w:r w:rsidR="001B404C">
        <w:fldChar w:fldCharType="begin"/>
      </w:r>
      <w:r w:rsidR="001B404C">
        <w:instrText xml:space="preserve"> REF _Ref31391005 \r \h </w:instrText>
      </w:r>
      <w:r w:rsidR="001B404C">
        <w:fldChar w:fldCharType="separate"/>
      </w:r>
      <w:r w:rsidR="005B1F80">
        <w:t>4.2.4</w:t>
      </w:r>
      <w:r w:rsidR="001B404C">
        <w:fldChar w:fldCharType="end"/>
      </w:r>
      <w:r w:rsidR="00D8475E">
        <w:t>.</w:t>
      </w:r>
    </w:p>
    <w:p w14:paraId="26F1538E" w14:textId="77777777" w:rsidR="00407775" w:rsidRDefault="006A6441" w:rsidP="001C7DFC">
      <w:pPr>
        <w:spacing w:before="80"/>
      </w:pPr>
      <w:r>
        <w:t xml:space="preserve">The </w:t>
      </w:r>
      <w:r w:rsidR="00604F2A">
        <w:t>design</w:t>
      </w:r>
      <w:r w:rsidR="00A1534C">
        <w:t xml:space="preserve"> of </w:t>
      </w:r>
      <w:r w:rsidR="00604F2A">
        <w:t xml:space="preserve">the </w:t>
      </w:r>
      <w:r>
        <w:t xml:space="preserve">workflow or screen presentation remains with the software </w:t>
      </w:r>
      <w:r w:rsidR="00E40AF7">
        <w:t>vendor;</w:t>
      </w:r>
      <w:r w:rsidR="00407775">
        <w:t xml:space="preserve"> </w:t>
      </w:r>
      <w:r w:rsidR="00E40AF7">
        <w:t>however,</w:t>
      </w:r>
      <w:r w:rsidR="00407775">
        <w:t xml:space="preserve"> the following updated regulation may impact this presentation.</w:t>
      </w:r>
    </w:p>
    <w:p w14:paraId="131F3A57" w14:textId="57DF62D1" w:rsidR="00407775" w:rsidRDefault="00407775" w:rsidP="00407775">
      <w:pPr>
        <w:pStyle w:val="Heading3"/>
      </w:pPr>
      <w:bookmarkStart w:id="53" w:name="_Ref31462765"/>
      <w:bookmarkStart w:id="54" w:name="_Toc57702482"/>
      <w:r>
        <w:t>The prescriber must make a clinical decision on the application of the brand name</w:t>
      </w:r>
      <w:r w:rsidR="00EE61AC">
        <w:t xml:space="preserve"> </w:t>
      </w:r>
      <w:r>
        <w:t>- Impact of this regulation</w:t>
      </w:r>
      <w:bookmarkEnd w:id="53"/>
      <w:bookmarkEnd w:id="54"/>
    </w:p>
    <w:p w14:paraId="300DE796" w14:textId="3D80C940" w:rsidR="00230B13" w:rsidRDefault="00D579A9" w:rsidP="00230B13">
      <w:pPr>
        <w:spacing w:before="80"/>
      </w:pPr>
      <w:r>
        <w:t xml:space="preserve">A prescriber selecting a brand name from a drop down menu </w:t>
      </w:r>
      <w:r w:rsidRPr="00230B13">
        <w:rPr>
          <w:u w:val="single"/>
        </w:rPr>
        <w:t xml:space="preserve">is not </w:t>
      </w:r>
      <w:r w:rsidR="00D432C1" w:rsidRPr="00230B13">
        <w:rPr>
          <w:u w:val="single"/>
        </w:rPr>
        <w:t>equivalent</w:t>
      </w:r>
      <w:r w:rsidR="00D432C1" w:rsidRPr="00230B13" w:rsidDel="00D432C1">
        <w:rPr>
          <w:u w:val="single"/>
        </w:rPr>
        <w:t xml:space="preserve"> </w:t>
      </w:r>
      <w:r w:rsidRPr="00230B13">
        <w:rPr>
          <w:u w:val="single"/>
        </w:rPr>
        <w:t>to a decision to include a brand name on the prescription</w:t>
      </w:r>
      <w:r w:rsidR="003F0390">
        <w:t>.</w:t>
      </w:r>
    </w:p>
    <w:p w14:paraId="207A2003" w14:textId="77777777" w:rsidR="001C7DFC" w:rsidRDefault="00407775" w:rsidP="001C7DFC">
      <w:pPr>
        <w:spacing w:before="80"/>
      </w:pPr>
      <w:r>
        <w:t xml:space="preserve">If </w:t>
      </w:r>
      <w:r w:rsidR="001C7DFC">
        <w:t xml:space="preserve">the prescriber has not already been prompted </w:t>
      </w:r>
      <w:r w:rsidR="00A64C93">
        <w:t xml:space="preserve">during </w:t>
      </w:r>
      <w:r w:rsidR="001C7DFC">
        <w:t xml:space="preserve">this prescribing event </w:t>
      </w:r>
      <w:r>
        <w:t xml:space="preserve">they </w:t>
      </w:r>
      <w:r w:rsidR="0081212C">
        <w:t xml:space="preserve">should </w:t>
      </w:r>
      <w:r w:rsidRPr="00B81EDF">
        <w:t>be prompted</w:t>
      </w:r>
      <w:r>
        <w:t xml:space="preserve"> </w:t>
      </w:r>
      <w:r w:rsidR="001C7DFC">
        <w:t>to consider if the inclusion of the brand is clinically appropriate for the treatment of their patient.</w:t>
      </w:r>
    </w:p>
    <w:p w14:paraId="082AE79D" w14:textId="2B9E5F60" w:rsidR="00653E17" w:rsidRDefault="005E4CCA" w:rsidP="005E4CCA">
      <w:r>
        <w:t xml:space="preserve">If a prescriber </w:t>
      </w:r>
      <w:r w:rsidR="00D579A9">
        <w:t>does not indicate</w:t>
      </w:r>
      <w:r>
        <w:t xml:space="preserve"> that the prescription should include the brand name, the medicine should be prescribed by </w:t>
      </w:r>
      <w:r w:rsidR="003F0390">
        <w:t>active ingredient name(s) only.</w:t>
      </w:r>
    </w:p>
    <w:p w14:paraId="71042150" w14:textId="77777777" w:rsidR="005E4CCA" w:rsidRDefault="00653E17" w:rsidP="005E4CCA">
      <w:r>
        <w:t>Alternatively, i</w:t>
      </w:r>
      <w:r w:rsidR="005E4CCA">
        <w:t xml:space="preserve">f the prescriber has indicated that inclusion of a brand name is suitable in this prescribing incidence, the active ingredient name(s) must still be included on the prescription, </w:t>
      </w:r>
      <w:r w:rsidR="00230B13">
        <w:t xml:space="preserve">and </w:t>
      </w:r>
      <w:r w:rsidR="005E4CCA">
        <w:t>before the brand name.</w:t>
      </w:r>
    </w:p>
    <w:p w14:paraId="467EEB81" w14:textId="1158EBEF" w:rsidR="00006CD3" w:rsidRDefault="00006CD3" w:rsidP="00006CD3">
      <w:pPr>
        <w:spacing w:before="80"/>
      </w:pPr>
      <w:r>
        <w:t xml:space="preserve">Note: Please refer to the discussion in para </w:t>
      </w:r>
      <w:r>
        <w:fldChar w:fldCharType="begin"/>
      </w:r>
      <w:r>
        <w:instrText xml:space="preserve"> REF _Ref31448411 \r \h </w:instrText>
      </w:r>
      <w:r>
        <w:fldChar w:fldCharType="separate"/>
      </w:r>
      <w:r w:rsidR="005B1F80">
        <w:t>5.3</w:t>
      </w:r>
      <w:r>
        <w:fldChar w:fldCharType="end"/>
      </w:r>
      <w:r>
        <w:t xml:space="preserve"> associated with the "Brand Substitution not permitted" tick box for the exclusion which applies for that scenario.</w:t>
      </w:r>
    </w:p>
    <w:p w14:paraId="0E1D8E01" w14:textId="55DE1101" w:rsidR="00E35C68" w:rsidRPr="00457A7C" w:rsidRDefault="00E35C68" w:rsidP="005C63DA">
      <w:r w:rsidRPr="00724B65">
        <w:rPr>
          <w:u w:val="single"/>
        </w:rPr>
        <w:t xml:space="preserve">A </w:t>
      </w:r>
      <w:r w:rsidR="00724B65" w:rsidRPr="00724B65">
        <w:rPr>
          <w:u w:val="single"/>
        </w:rPr>
        <w:t>recommendation</w:t>
      </w:r>
      <w:r w:rsidR="00724B65">
        <w:t xml:space="preserve"> is to include</w:t>
      </w:r>
      <w:r w:rsidR="008355F6">
        <w:t xml:space="preserve"> a </w:t>
      </w:r>
      <w:r w:rsidR="008355F6" w:rsidRPr="00E35C68">
        <w:rPr>
          <w:i/>
          <w:iCs/>
        </w:rPr>
        <w:t>tick box</w:t>
      </w:r>
      <w:r w:rsidR="008355F6">
        <w:t xml:space="preserve"> or a </w:t>
      </w:r>
      <w:r w:rsidR="008355F6" w:rsidRPr="00E35C68">
        <w:rPr>
          <w:i/>
          <w:iCs/>
        </w:rPr>
        <w:t xml:space="preserve">Yes/No </w:t>
      </w:r>
      <w:r w:rsidR="008355F6" w:rsidRPr="00457A7C">
        <w:rPr>
          <w:i/>
          <w:iCs/>
        </w:rPr>
        <w:t>prompt</w:t>
      </w:r>
      <w:r w:rsidR="00724B65">
        <w:t xml:space="preserve"> </w:t>
      </w:r>
      <w:r w:rsidR="00C57793">
        <w:t>that</w:t>
      </w:r>
      <w:r w:rsidR="00724B65">
        <w:t xml:space="preserve"> highlights </w:t>
      </w:r>
      <w:r w:rsidR="00356AEB">
        <w:t xml:space="preserve">the brand the prescriber used to select the drug </w:t>
      </w:r>
      <w:r w:rsidR="0097527D">
        <w:t>including its</w:t>
      </w:r>
      <w:r w:rsidR="00356AEB">
        <w:t xml:space="preserve"> active ingredient(s).</w:t>
      </w:r>
      <w:r w:rsidR="00724B65">
        <w:t xml:space="preserve">The prompt should ask the prescriber if it is </w:t>
      </w:r>
      <w:r w:rsidR="005C63DA" w:rsidRPr="00457A7C">
        <w:t>clinically appropriate for</w:t>
      </w:r>
      <w:r w:rsidR="003F20E4" w:rsidRPr="00457A7C">
        <w:t xml:space="preserve"> the </w:t>
      </w:r>
      <w:r w:rsidR="003F20E4" w:rsidRPr="00C93D8A">
        <w:t>brand selected</w:t>
      </w:r>
      <w:r w:rsidR="005C63DA" w:rsidRPr="00457A7C">
        <w:t xml:space="preserve"> to </w:t>
      </w:r>
      <w:r w:rsidR="00724B65">
        <w:t>be included</w:t>
      </w:r>
      <w:r w:rsidR="005C63DA" w:rsidRPr="00457A7C">
        <w:t xml:space="preserve"> on the prescription</w:t>
      </w:r>
      <w:r w:rsidR="00724B65">
        <w:t xml:space="preserve"> with the active ingredient(s)</w:t>
      </w:r>
      <w:r w:rsidR="008355F6" w:rsidRPr="00457A7C">
        <w:t>.</w:t>
      </w:r>
    </w:p>
    <w:p w14:paraId="1EDD838C" w14:textId="4B5D3317" w:rsidR="00356AEB" w:rsidRDefault="00356AEB" w:rsidP="00356AEB">
      <w:r w:rsidRPr="00C93D8A">
        <w:rPr>
          <w:u w:val="single"/>
        </w:rPr>
        <w:t>Reminder</w:t>
      </w:r>
      <w:r>
        <w:t xml:space="preserve">: Refer to para </w:t>
      </w:r>
      <w:r w:rsidR="00C51785">
        <w:fldChar w:fldCharType="begin"/>
      </w:r>
      <w:r w:rsidR="00C51785">
        <w:instrText xml:space="preserve"> REF _Ref31403397 \r \h </w:instrText>
      </w:r>
      <w:r w:rsidR="00C51785">
        <w:fldChar w:fldCharType="separate"/>
      </w:r>
      <w:r w:rsidR="005B1F80">
        <w:t>3.1.2</w:t>
      </w:r>
      <w:r w:rsidR="00C51785">
        <w:fldChar w:fldCharType="end"/>
      </w:r>
      <w:r w:rsidR="00006CD3">
        <w:t xml:space="preserve"> </w:t>
      </w:r>
      <w:r w:rsidR="00C51785">
        <w:t>p</w:t>
      </w:r>
      <w:r>
        <w:t>rohibiting the use of a default in this situation.</w:t>
      </w:r>
    </w:p>
    <w:p w14:paraId="330C5AC4" w14:textId="77777777" w:rsidR="00695FDE" w:rsidRDefault="00695FDE" w:rsidP="002C41C7">
      <w:pPr>
        <w:pStyle w:val="Heading2"/>
      </w:pPr>
      <w:bookmarkStart w:id="55" w:name="_Ref31448411"/>
      <w:bookmarkStart w:id="56" w:name="_Toc57702483"/>
      <w:r>
        <w:t>"Brand substitution not permitted"</w:t>
      </w:r>
      <w:bookmarkEnd w:id="55"/>
      <w:bookmarkEnd w:id="56"/>
    </w:p>
    <w:p w14:paraId="7C02E0EC" w14:textId="77777777" w:rsidR="00D34676" w:rsidRDefault="00D34676" w:rsidP="00D34676">
      <w:r>
        <w:t>Brand substitution by a pharmacist is</w:t>
      </w:r>
      <w:r w:rsidR="005C63DA">
        <w:t xml:space="preserve"> </w:t>
      </w:r>
      <w:r w:rsidR="009B493F">
        <w:t>valid</w:t>
      </w:r>
      <w:r>
        <w:t xml:space="preserve"> between brands identified in the Schedule of Pharmaceutical Benefits that are equivalent for the purposes of substitution and may be interchanged without differences in clinical effect.</w:t>
      </w:r>
    </w:p>
    <w:p w14:paraId="157BC821" w14:textId="2FB15D28" w:rsidR="00C93D8A" w:rsidRDefault="00A968D8" w:rsidP="002C41C7">
      <w:r>
        <w:t>Therefore, i</w:t>
      </w:r>
      <w:r w:rsidR="009B493F">
        <w:t>t is only valid to tick th</w:t>
      </w:r>
      <w:r>
        <w:t xml:space="preserve">e </w:t>
      </w:r>
      <w:r w:rsidR="00C93D8A">
        <w:t>"</w:t>
      </w:r>
      <w:r>
        <w:t>brand substitution not permitted</w:t>
      </w:r>
      <w:r w:rsidR="00C93D8A">
        <w:t>"</w:t>
      </w:r>
      <w:r>
        <w:t xml:space="preserve"> </w:t>
      </w:r>
      <w:r w:rsidR="009B493F">
        <w:t>box on the prescription if alternate brands are available to the one selected</w:t>
      </w:r>
      <w:r>
        <w:t xml:space="preserve"> and the brand </w:t>
      </w:r>
      <w:r w:rsidR="0097527D">
        <w:t>selected</w:t>
      </w:r>
      <w:r>
        <w:t xml:space="preserve"> is the brand </w:t>
      </w:r>
      <w:r w:rsidR="00546478">
        <w:t>that must be</w:t>
      </w:r>
      <w:r>
        <w:t xml:space="preserve"> dispensed</w:t>
      </w:r>
      <w:r w:rsidR="009C06AF">
        <w:t xml:space="preserve"> for the patient</w:t>
      </w:r>
      <w:r w:rsidR="003F0390">
        <w:t>.</w:t>
      </w:r>
    </w:p>
    <w:p w14:paraId="48B96059" w14:textId="61D44594" w:rsidR="00695FDE" w:rsidRDefault="00A968D8" w:rsidP="002C41C7">
      <w:r>
        <w:t xml:space="preserve">If </w:t>
      </w:r>
      <w:r w:rsidR="009B493F">
        <w:t>alternate brands are available</w:t>
      </w:r>
      <w:r>
        <w:t xml:space="preserve"> and the </w:t>
      </w:r>
      <w:r w:rsidR="00695FDE">
        <w:t xml:space="preserve">box is ticked by the prescriber, the prescription </w:t>
      </w:r>
      <w:r w:rsidR="00695FDE" w:rsidRPr="00972AF1">
        <w:t>must still include</w:t>
      </w:r>
      <w:r w:rsidR="00695FDE">
        <w:t xml:space="preserve"> the</w:t>
      </w:r>
      <w:r>
        <w:t xml:space="preserve"> active</w:t>
      </w:r>
      <w:r w:rsidR="00695FDE">
        <w:t xml:space="preserve"> ingredient name(s)</w:t>
      </w:r>
      <w:r w:rsidR="0099058F">
        <w:t xml:space="preserve"> </w:t>
      </w:r>
      <w:r w:rsidR="00972AF1">
        <w:t xml:space="preserve">before the brand </w:t>
      </w:r>
      <w:r>
        <w:t>name</w:t>
      </w:r>
      <w:r w:rsidR="00C93D8A">
        <w:t xml:space="preserve"> with the exception of the </w:t>
      </w:r>
      <w:r w:rsidR="000C7A8C">
        <w:t xml:space="preserve">LEMI </w:t>
      </w:r>
      <w:r w:rsidR="00C93D8A">
        <w:t>items described in section</w:t>
      </w:r>
      <w:r w:rsidR="00064D19">
        <w:t xml:space="preserve"> </w:t>
      </w:r>
      <w:r w:rsidR="00064D19">
        <w:fldChar w:fldCharType="begin"/>
      </w:r>
      <w:r w:rsidR="00064D19">
        <w:instrText xml:space="preserve"> REF _Ref31462903 \r \h </w:instrText>
      </w:r>
      <w:r w:rsidR="00064D19">
        <w:fldChar w:fldCharType="separate"/>
      </w:r>
      <w:r w:rsidR="005B1F80">
        <w:t>4.2.4</w:t>
      </w:r>
      <w:r w:rsidR="00064D19">
        <w:fldChar w:fldCharType="end"/>
      </w:r>
      <w:r w:rsidR="00C93D8A">
        <w:t>.</w:t>
      </w:r>
    </w:p>
    <w:p w14:paraId="0AB1FF51" w14:textId="2CDBB476" w:rsidR="00A5537B" w:rsidRDefault="00064D19" w:rsidP="0082580A">
      <w:bookmarkStart w:id="57" w:name="_Hlk17019611"/>
      <w:r w:rsidRPr="00B6234A">
        <w:t>But, a</w:t>
      </w:r>
      <w:r w:rsidR="00F67A63" w:rsidRPr="00B6234A">
        <w:t>s the prescri</w:t>
      </w:r>
      <w:r w:rsidRPr="00B6234A">
        <w:t>ber</w:t>
      </w:r>
      <w:r w:rsidR="00F67A63" w:rsidRPr="00B6234A">
        <w:t xml:space="preserve"> </w:t>
      </w:r>
      <w:r w:rsidRPr="00B6234A">
        <w:t xml:space="preserve">has </w:t>
      </w:r>
      <w:r w:rsidR="00F67A63" w:rsidRPr="00B6234A">
        <w:t xml:space="preserve">specifically </w:t>
      </w:r>
      <w:r w:rsidRPr="00B6234A">
        <w:t>nominated</w:t>
      </w:r>
      <w:r w:rsidR="00F67A63" w:rsidRPr="00B6234A">
        <w:t xml:space="preserve"> </w:t>
      </w:r>
      <w:r w:rsidR="00006CD3" w:rsidRPr="00B6234A">
        <w:t>the</w:t>
      </w:r>
      <w:r w:rsidR="00F67A63" w:rsidRPr="00B6234A">
        <w:t xml:space="preserve"> </w:t>
      </w:r>
      <w:r w:rsidR="00006CD3" w:rsidRPr="00B6234A">
        <w:t>brand</w:t>
      </w:r>
      <w:r w:rsidR="00F67A63" w:rsidRPr="00B6234A">
        <w:t xml:space="preserve">, </w:t>
      </w:r>
      <w:r w:rsidR="00C93D8A" w:rsidRPr="00B6234A">
        <w:t xml:space="preserve">via the "brand substitution not permitted" box, </w:t>
      </w:r>
      <w:r w:rsidR="00F67A63" w:rsidRPr="00B6234A">
        <w:t>a</w:t>
      </w:r>
      <w:r w:rsidR="006A6441" w:rsidRPr="00B6234A">
        <w:t xml:space="preserve"> </w:t>
      </w:r>
      <w:bookmarkEnd w:id="57"/>
      <w:r w:rsidR="006A6441" w:rsidRPr="00B6234A">
        <w:t>confirmation of the inclusion or otherwise of the selected brand</w:t>
      </w:r>
      <w:r w:rsidR="0097527D" w:rsidRPr="00B6234A">
        <w:t xml:space="preserve"> as</w:t>
      </w:r>
      <w:r w:rsidR="006A6441" w:rsidRPr="00B6234A">
        <w:t xml:space="preserve"> </w:t>
      </w:r>
      <w:r w:rsidR="0097527D" w:rsidRPr="00B6234A">
        <w:t xml:space="preserve">described in section </w:t>
      </w:r>
      <w:r w:rsidRPr="00B6234A">
        <w:fldChar w:fldCharType="begin"/>
      </w:r>
      <w:r w:rsidRPr="00B6234A">
        <w:instrText xml:space="preserve"> REF _Ref31462765 \r \h </w:instrText>
      </w:r>
      <w:r w:rsidR="00B6234A" w:rsidRPr="00117D66">
        <w:instrText xml:space="preserve"> \* MERGEFORMAT </w:instrText>
      </w:r>
      <w:r w:rsidRPr="00B6234A">
        <w:fldChar w:fldCharType="separate"/>
      </w:r>
      <w:r w:rsidR="005B1F80">
        <w:t>5.2.3</w:t>
      </w:r>
      <w:r w:rsidRPr="00B6234A">
        <w:fldChar w:fldCharType="end"/>
      </w:r>
      <w:r w:rsidR="0097527D" w:rsidRPr="00B6234A">
        <w:t xml:space="preserve"> </w:t>
      </w:r>
      <w:r w:rsidR="006A6441" w:rsidRPr="00B6234A">
        <w:t xml:space="preserve">is </w:t>
      </w:r>
      <w:r w:rsidR="006A6441" w:rsidRPr="00B6234A">
        <w:rPr>
          <w:u w:val="single"/>
        </w:rPr>
        <w:t>NOT</w:t>
      </w:r>
      <w:r w:rsidR="00356AEB" w:rsidRPr="00B6234A">
        <w:rPr>
          <w:u w:val="single"/>
        </w:rPr>
        <w:t xml:space="preserve"> required</w:t>
      </w:r>
      <w:r w:rsidR="006A6441" w:rsidRPr="00B6234A">
        <w:t>.</w:t>
      </w:r>
    </w:p>
    <w:p w14:paraId="699C76C1" w14:textId="154CFF13" w:rsidR="002F2DC4" w:rsidRDefault="00D84549" w:rsidP="002C41C7">
      <w:pPr>
        <w:pStyle w:val="Heading2"/>
      </w:pPr>
      <w:bookmarkStart w:id="58" w:name="_Ref31643342"/>
      <w:bookmarkStart w:id="59" w:name="_Toc57702484"/>
      <w:r>
        <w:lastRenderedPageBreak/>
        <w:t>Scenario</w:t>
      </w:r>
      <w:r w:rsidR="002F2DC4">
        <w:t xml:space="preserve"> where </w:t>
      </w:r>
      <w:r w:rsidR="00A0195F">
        <w:t xml:space="preserve">alternate brands are </w:t>
      </w:r>
      <w:r w:rsidR="002F2DC4">
        <w:t>non-Bioequivalent</w:t>
      </w:r>
      <w:bookmarkEnd w:id="58"/>
      <w:bookmarkEnd w:id="59"/>
    </w:p>
    <w:p w14:paraId="3284AA06" w14:textId="77777777" w:rsidR="002F2DC4" w:rsidRDefault="00A0195F" w:rsidP="002C41C7">
      <w:r>
        <w:t xml:space="preserve">This </w:t>
      </w:r>
      <w:r w:rsidR="00E650FE">
        <w:t xml:space="preserve">section is </w:t>
      </w:r>
      <w:r w:rsidR="00BC006A">
        <w:t xml:space="preserve">best </w:t>
      </w:r>
      <w:r w:rsidR="00E650FE">
        <w:t>described</w:t>
      </w:r>
      <w:r w:rsidR="00780EDD">
        <w:t xml:space="preserve"> </w:t>
      </w:r>
      <w:r w:rsidR="00E650FE">
        <w:t xml:space="preserve">by </w:t>
      </w:r>
      <w:r w:rsidR="0093697A">
        <w:t xml:space="preserve">using </w:t>
      </w:r>
      <w:r w:rsidR="00E650FE">
        <w:t xml:space="preserve">the </w:t>
      </w:r>
      <w:r>
        <w:t xml:space="preserve">example </w:t>
      </w:r>
      <w:r w:rsidR="00E650FE">
        <w:t xml:space="preserve">of </w:t>
      </w:r>
      <w:r w:rsidR="00B13C5B" w:rsidRPr="00CD2F77">
        <w:rPr>
          <w:b/>
          <w:bCs/>
          <w:i/>
          <w:iCs/>
        </w:rPr>
        <w:t>warfarin</w:t>
      </w:r>
      <w:r w:rsidR="00B13C5B">
        <w:t xml:space="preserve"> for which </w:t>
      </w:r>
      <w:r>
        <w:t xml:space="preserve">Coumadin and Marevan </w:t>
      </w:r>
      <w:r w:rsidR="00B13C5B">
        <w:t xml:space="preserve">are listed and </w:t>
      </w:r>
      <w:r>
        <w:t>where it has been established that these brands are non-Bioequivalen</w:t>
      </w:r>
      <w:r w:rsidR="00695FDE">
        <w:t>t</w:t>
      </w:r>
      <w:r>
        <w:t>.</w:t>
      </w:r>
    </w:p>
    <w:p w14:paraId="267B6ED7" w14:textId="77777777" w:rsidR="00CD2F77" w:rsidRDefault="00CD2F77" w:rsidP="002C41C7">
      <w:pPr>
        <w:rPr>
          <w:b/>
          <w:bCs/>
          <w:i/>
          <w:iCs/>
        </w:rPr>
      </w:pPr>
      <w:r>
        <w:t xml:space="preserve">The identical scenarios raised in this section apply equally to </w:t>
      </w:r>
      <w:r w:rsidRPr="00CD2F77">
        <w:rPr>
          <w:b/>
          <w:bCs/>
          <w:i/>
          <w:iCs/>
        </w:rPr>
        <w:t>clozapine</w:t>
      </w:r>
      <w:r>
        <w:rPr>
          <w:b/>
          <w:bCs/>
          <w:i/>
          <w:iCs/>
        </w:rPr>
        <w:t>.</w:t>
      </w:r>
    </w:p>
    <w:p w14:paraId="6857EC98" w14:textId="366366F6" w:rsidR="00653E17" w:rsidRDefault="00B127AB" w:rsidP="0026575F">
      <w:pPr>
        <w:shd w:val="clear" w:color="auto" w:fill="DDD9C3" w:themeFill="background2" w:themeFillShade="E6"/>
      </w:pPr>
      <w:r>
        <w:t xml:space="preserve">Section </w:t>
      </w:r>
      <w:r>
        <w:fldChar w:fldCharType="begin"/>
      </w:r>
      <w:r>
        <w:instrText xml:space="preserve"> REF _Ref31643342 \r \h </w:instrText>
      </w:r>
      <w:r w:rsidR="0026575F">
        <w:instrText xml:space="preserve"> \* MERGEFORMAT </w:instrText>
      </w:r>
      <w:r>
        <w:fldChar w:fldCharType="separate"/>
      </w:r>
      <w:r w:rsidR="005B1F80">
        <w:t>5.4</w:t>
      </w:r>
      <w:r>
        <w:fldChar w:fldCharType="end"/>
      </w:r>
      <w:r w:rsidR="00CD2F77">
        <w:t xml:space="preserve"> has been included to specifically acknowledge the issues raised by PBAC, the practitioners and the jurisdictional Health Authorities relating to medicines such as </w:t>
      </w:r>
      <w:r w:rsidR="00CD2F77" w:rsidRPr="00CD2F77">
        <w:rPr>
          <w:b/>
          <w:bCs/>
          <w:i/>
          <w:iCs/>
        </w:rPr>
        <w:t>Warf</w:t>
      </w:r>
      <w:r w:rsidR="008B3D8A">
        <w:rPr>
          <w:b/>
          <w:bCs/>
          <w:i/>
          <w:iCs/>
        </w:rPr>
        <w:t>ar</w:t>
      </w:r>
      <w:r w:rsidR="00CD2F77" w:rsidRPr="00CD2F77">
        <w:rPr>
          <w:b/>
          <w:bCs/>
          <w:i/>
          <w:iCs/>
        </w:rPr>
        <w:t>in</w:t>
      </w:r>
      <w:r w:rsidR="00CD2F77">
        <w:t xml:space="preserve"> and </w:t>
      </w:r>
      <w:r w:rsidR="00CD2F77" w:rsidRPr="00CD2F77">
        <w:rPr>
          <w:b/>
          <w:bCs/>
          <w:i/>
          <w:iCs/>
        </w:rPr>
        <w:t>Clozapine</w:t>
      </w:r>
      <w:r w:rsidR="00CD2F77">
        <w:t xml:space="preserve"> which specifically </w:t>
      </w:r>
      <w:r>
        <w:t>address</w:t>
      </w:r>
      <w:r w:rsidR="00CD2F77">
        <w:t xml:space="preserve"> the importance of maintaining the patient on a </w:t>
      </w:r>
      <w:r w:rsidR="00CD2F77" w:rsidRPr="00117D66">
        <w:rPr>
          <w:u w:val="single"/>
        </w:rPr>
        <w:t>brand-</w:t>
      </w:r>
      <w:r w:rsidR="00C01196" w:rsidRPr="00117D66">
        <w:rPr>
          <w:u w:val="single"/>
        </w:rPr>
        <w:t>specific</w:t>
      </w:r>
      <w:r w:rsidR="00CD2F77">
        <w:t xml:space="preserve"> version of the medicine.</w:t>
      </w:r>
    </w:p>
    <w:p w14:paraId="101C6FCB" w14:textId="77777777" w:rsidR="00653E17" w:rsidRDefault="00653E17">
      <w:pPr>
        <w:spacing w:before="0"/>
      </w:pPr>
    </w:p>
    <w:p w14:paraId="2DF979CB" w14:textId="77777777" w:rsidR="00666FBB" w:rsidRDefault="009B493F" w:rsidP="00666FBB">
      <w:pPr>
        <w:pStyle w:val="Heading3"/>
      </w:pPr>
      <w:bookmarkStart w:id="60" w:name="_Ref48212530"/>
      <w:bookmarkStart w:id="61" w:name="_Toc57702485"/>
      <w:r>
        <w:t xml:space="preserve">Support </w:t>
      </w:r>
      <w:r w:rsidR="00B13C5B">
        <w:t>i</w:t>
      </w:r>
      <w:r>
        <w:t>nformation p</w:t>
      </w:r>
      <w:r w:rsidR="00666FBB">
        <w:t xml:space="preserve">ublished by NPS </w:t>
      </w:r>
      <w:r w:rsidR="00A968D8">
        <w:t>MedicineWise</w:t>
      </w:r>
      <w:r w:rsidR="006967EA">
        <w:t xml:space="preserve"> </w:t>
      </w:r>
      <w:r w:rsidR="00666FBB">
        <w:t>®</w:t>
      </w:r>
      <w:bookmarkEnd w:id="60"/>
      <w:bookmarkEnd w:id="61"/>
    </w:p>
    <w:p w14:paraId="56C21951" w14:textId="4EBD3139" w:rsidR="00B13C5B" w:rsidRPr="00653E17" w:rsidRDefault="00B13C5B" w:rsidP="00653E17">
      <w:pPr>
        <w:pStyle w:val="NormalWeb"/>
        <w:rPr>
          <w:rFonts w:ascii="Verdana" w:hAnsi="Verdana"/>
          <w:sz w:val="22"/>
          <w:szCs w:val="22"/>
        </w:rPr>
      </w:pPr>
      <w:r w:rsidRPr="00D579A9">
        <w:rPr>
          <w:rFonts w:ascii="Verdana" w:eastAsia="Times" w:hAnsi="Verdana"/>
          <w:sz w:val="22"/>
          <w:szCs w:val="22"/>
          <w:lang w:eastAsia="en-US"/>
        </w:rPr>
        <w:t>Please refer to</w:t>
      </w:r>
      <w:r w:rsidRPr="00653E17">
        <w:rPr>
          <w:rFonts w:ascii="Verdana" w:hAnsi="Verdana" w:cs="Arial"/>
          <w:color w:val="333333"/>
          <w:sz w:val="22"/>
          <w:szCs w:val="22"/>
        </w:rPr>
        <w:t xml:space="preserve"> </w:t>
      </w:r>
      <w:r w:rsidRPr="00653E17">
        <w:rPr>
          <w:rFonts w:ascii="Verdana" w:hAnsi="Verdana"/>
          <w:sz w:val="22"/>
          <w:szCs w:val="22"/>
        </w:rPr>
        <w:t xml:space="preserve">NPS </w:t>
      </w:r>
      <w:r w:rsidR="00622E84" w:rsidRPr="00653E17">
        <w:rPr>
          <w:rFonts w:ascii="Verdana" w:hAnsi="Verdana"/>
          <w:sz w:val="22"/>
          <w:szCs w:val="22"/>
        </w:rPr>
        <w:t>MedicineWise</w:t>
      </w:r>
      <w:r w:rsidRPr="00653E17">
        <w:rPr>
          <w:rFonts w:ascii="Verdana" w:hAnsi="Verdana"/>
          <w:sz w:val="22"/>
          <w:szCs w:val="22"/>
        </w:rPr>
        <w:t>® publication</w:t>
      </w:r>
      <w:r w:rsidR="00622E84" w:rsidRPr="00653E17">
        <w:rPr>
          <w:rFonts w:ascii="Verdana" w:hAnsi="Verdana"/>
          <w:sz w:val="22"/>
          <w:szCs w:val="22"/>
        </w:rPr>
        <w:t xml:space="preserve">: </w:t>
      </w:r>
      <w:r w:rsidR="00622E84" w:rsidRPr="00653E17">
        <w:rPr>
          <w:rFonts w:ascii="Verdana" w:hAnsi="Verdana"/>
          <w:sz w:val="22"/>
          <w:szCs w:val="22"/>
        </w:rPr>
        <w:br/>
      </w:r>
      <w:hyperlink r:id="rId21" w:history="1">
        <w:r w:rsidR="00A968D8" w:rsidRPr="00653E17">
          <w:rPr>
            <w:rStyle w:val="Hyperlink"/>
            <w:rFonts w:ascii="Verdana" w:hAnsi="Verdana"/>
            <w:sz w:val="22"/>
            <w:szCs w:val="22"/>
          </w:rPr>
          <w:t>www.nps.org.au/australian-prescriber/articles/warfarin-tablets</w:t>
        </w:r>
      </w:hyperlink>
      <w:r w:rsidRPr="00653E17">
        <w:rPr>
          <w:rFonts w:ascii="Verdana" w:hAnsi="Verdana"/>
          <w:sz w:val="22"/>
          <w:szCs w:val="22"/>
        </w:rPr>
        <w:t>.</w:t>
      </w:r>
    </w:p>
    <w:p w14:paraId="6F521795" w14:textId="77777777" w:rsidR="00A64C93" w:rsidRDefault="00666FBB" w:rsidP="00A64C93">
      <w:pPr>
        <w:pStyle w:val="NormalWeb"/>
        <w:pBdr>
          <w:top w:val="single" w:sz="4" w:space="1" w:color="auto"/>
          <w:left w:val="single" w:sz="4" w:space="4" w:color="auto"/>
          <w:bottom w:val="single" w:sz="4" w:space="1" w:color="auto"/>
          <w:right w:val="single" w:sz="4" w:space="4" w:color="auto"/>
        </w:pBdr>
        <w:spacing w:before="0" w:beforeAutospacing="0" w:after="120" w:afterAutospacing="0"/>
        <w:ind w:left="720"/>
        <w:rPr>
          <w:rFonts w:ascii="Arial Narrow" w:hAnsi="Arial Narrow" w:cs="Arial"/>
          <w:color w:val="333333"/>
          <w:sz w:val="22"/>
          <w:szCs w:val="22"/>
        </w:rPr>
      </w:pPr>
      <w:r w:rsidRPr="00666FBB">
        <w:rPr>
          <w:rFonts w:ascii="Arial Narrow" w:hAnsi="Arial Narrow" w:cs="Arial"/>
          <w:color w:val="333333"/>
          <w:sz w:val="22"/>
          <w:szCs w:val="22"/>
        </w:rPr>
        <w:t xml:space="preserve">Brand substitution is only </w:t>
      </w:r>
      <w:r w:rsidR="009B493F">
        <w:rPr>
          <w:rFonts w:ascii="Arial Narrow" w:hAnsi="Arial Narrow" w:cs="Arial"/>
          <w:color w:val="333333"/>
          <w:sz w:val="22"/>
          <w:szCs w:val="22"/>
        </w:rPr>
        <w:t>valid</w:t>
      </w:r>
      <w:r w:rsidRPr="00666FBB">
        <w:rPr>
          <w:rFonts w:ascii="Arial Narrow" w:hAnsi="Arial Narrow" w:cs="Arial"/>
          <w:color w:val="333333"/>
          <w:sz w:val="22"/>
          <w:szCs w:val="22"/>
        </w:rPr>
        <w:t xml:space="preserve"> where identified in the Schedule of Pharmaceutical Benefits. Pharmacists should be well aware of this, particularly in relation to warfarin. The PBAC has recommended that a cautionary note be added to the PBS listing for all warfarin brands and strengths as follows:</w:t>
      </w:r>
    </w:p>
    <w:p w14:paraId="3B5FA332" w14:textId="77777777" w:rsidR="00666FBB" w:rsidRPr="00666FBB" w:rsidRDefault="00666FBB" w:rsidP="00A64C93">
      <w:pPr>
        <w:pStyle w:val="NormalWeb"/>
        <w:pBdr>
          <w:top w:val="single" w:sz="4" w:space="1" w:color="auto"/>
          <w:left w:val="single" w:sz="4" w:space="4" w:color="auto"/>
          <w:bottom w:val="single" w:sz="4" w:space="1" w:color="auto"/>
          <w:right w:val="single" w:sz="4" w:space="4" w:color="auto"/>
        </w:pBdr>
        <w:spacing w:before="120" w:beforeAutospacing="0" w:after="0" w:afterAutospacing="0"/>
        <w:ind w:left="720"/>
        <w:rPr>
          <w:rFonts w:ascii="Arial Narrow" w:hAnsi="Arial Narrow" w:cs="Arial"/>
          <w:color w:val="333333"/>
          <w:sz w:val="22"/>
          <w:szCs w:val="22"/>
        </w:rPr>
      </w:pPr>
      <w:r w:rsidRPr="00666FBB">
        <w:rPr>
          <w:rFonts w:ascii="Arial Narrow" w:hAnsi="Arial Narrow" w:cs="Arial"/>
          <w:i/>
          <w:iCs/>
          <w:color w:val="333333"/>
          <w:sz w:val="22"/>
          <w:szCs w:val="22"/>
        </w:rPr>
        <w:t>'Caution: </w:t>
      </w:r>
      <w:r w:rsidRPr="00666FBB">
        <w:rPr>
          <w:rFonts w:ascii="Arial Narrow" w:hAnsi="Arial Narrow" w:cs="Arial"/>
          <w:color w:val="333333"/>
          <w:sz w:val="22"/>
          <w:szCs w:val="22"/>
        </w:rPr>
        <w:t>The listed brands have not been shown to be bioequivalent and should not be interchanged.'</w:t>
      </w:r>
    </w:p>
    <w:p w14:paraId="5F047693" w14:textId="77777777" w:rsidR="00666FBB" w:rsidRDefault="00666FBB" w:rsidP="00A64C93">
      <w:pPr>
        <w:pStyle w:val="NormalWeb"/>
        <w:pBdr>
          <w:top w:val="single" w:sz="4" w:space="1" w:color="auto"/>
          <w:left w:val="single" w:sz="4" w:space="4" w:color="auto"/>
          <w:bottom w:val="single" w:sz="4" w:space="1" w:color="auto"/>
          <w:right w:val="single" w:sz="4" w:space="4" w:color="auto"/>
        </w:pBdr>
        <w:spacing w:before="120" w:beforeAutospacing="0" w:after="0" w:afterAutospacing="0"/>
        <w:ind w:left="720"/>
        <w:rPr>
          <w:rFonts w:ascii="Arial Narrow" w:hAnsi="Arial Narrow" w:cs="Arial"/>
          <w:color w:val="333333"/>
          <w:sz w:val="22"/>
          <w:szCs w:val="22"/>
        </w:rPr>
      </w:pPr>
      <w:r w:rsidRPr="00666FBB">
        <w:rPr>
          <w:rFonts w:ascii="Arial Narrow" w:hAnsi="Arial Narrow" w:cs="Arial"/>
          <w:color w:val="333333"/>
          <w:sz w:val="22"/>
          <w:szCs w:val="22"/>
        </w:rPr>
        <w:t>The responsibility of the doctor is to prescribe by brand name (not generic name) to ensure patients continue to receive the same brand of warfarin.</w:t>
      </w:r>
    </w:p>
    <w:p w14:paraId="4945D532" w14:textId="41582CBE" w:rsidR="00B13C5B" w:rsidRPr="005F663D" w:rsidRDefault="00B13C5B" w:rsidP="0052119C">
      <w:pPr>
        <w:pStyle w:val="NormalWeb"/>
        <w:spacing w:before="240" w:beforeAutospacing="0" w:after="0" w:afterAutospacing="0"/>
        <w:rPr>
          <w:rFonts w:ascii="Verdana" w:eastAsia="Times" w:hAnsi="Verdana"/>
          <w:sz w:val="22"/>
          <w:szCs w:val="22"/>
          <w:lang w:eastAsia="en-US"/>
        </w:rPr>
      </w:pPr>
      <w:r w:rsidRPr="00591488">
        <w:rPr>
          <w:rFonts w:ascii="Verdana" w:eastAsia="Times" w:hAnsi="Verdana"/>
          <w:sz w:val="22"/>
          <w:szCs w:val="22"/>
          <w:lang w:eastAsia="en-US"/>
        </w:rPr>
        <w:t xml:space="preserve">It is noted that the PBAC recommended "Caution Statement" has been included for all listings of </w:t>
      </w:r>
      <w:r w:rsidRPr="005F663D">
        <w:rPr>
          <w:rFonts w:ascii="Verdana" w:eastAsia="Times" w:hAnsi="Verdana"/>
          <w:b/>
          <w:bCs/>
          <w:i/>
          <w:iCs/>
          <w:sz w:val="22"/>
          <w:szCs w:val="22"/>
          <w:lang w:eastAsia="en-US"/>
        </w:rPr>
        <w:t>warfarin</w:t>
      </w:r>
      <w:r w:rsidRPr="005F663D">
        <w:rPr>
          <w:rFonts w:ascii="Verdana" w:eastAsia="Times" w:hAnsi="Verdana"/>
          <w:sz w:val="22"/>
          <w:szCs w:val="22"/>
          <w:lang w:eastAsia="en-US"/>
        </w:rPr>
        <w:t xml:space="preserve"> on the P</w:t>
      </w:r>
      <w:r w:rsidR="003F0390">
        <w:rPr>
          <w:rFonts w:ascii="Verdana" w:eastAsia="Times" w:hAnsi="Verdana"/>
          <w:sz w:val="22"/>
          <w:szCs w:val="22"/>
          <w:lang w:eastAsia="en-US"/>
        </w:rPr>
        <w:t>BS.</w:t>
      </w:r>
    </w:p>
    <w:p w14:paraId="1710B94E" w14:textId="77777777" w:rsidR="00B13C5B" w:rsidRPr="009E0D51" w:rsidRDefault="00B13C5B" w:rsidP="00B13C5B">
      <w:pPr>
        <w:pStyle w:val="NormalWeb"/>
        <w:spacing w:before="120" w:beforeAutospacing="0" w:after="0" w:afterAutospacing="0"/>
        <w:rPr>
          <w:rFonts w:ascii="Verdana" w:eastAsia="Times" w:hAnsi="Verdana"/>
          <w:sz w:val="22"/>
          <w:szCs w:val="22"/>
          <w:lang w:eastAsia="en-US"/>
        </w:rPr>
      </w:pPr>
      <w:r w:rsidRPr="009E0D51">
        <w:rPr>
          <w:rFonts w:ascii="Verdana" w:eastAsia="Times" w:hAnsi="Verdana"/>
          <w:sz w:val="22"/>
          <w:szCs w:val="22"/>
          <w:lang w:eastAsia="en-US"/>
        </w:rPr>
        <w:t xml:space="preserve">Further, neither the "a" or "b" flags are included in the </w:t>
      </w:r>
      <w:r w:rsidR="0082580A" w:rsidRPr="009E0D51">
        <w:rPr>
          <w:rFonts w:ascii="Verdana" w:eastAsia="Times" w:hAnsi="Verdana"/>
          <w:sz w:val="22"/>
          <w:szCs w:val="22"/>
          <w:lang w:eastAsia="en-US"/>
        </w:rPr>
        <w:t xml:space="preserve">PBS </w:t>
      </w:r>
      <w:r w:rsidRPr="009E0D51">
        <w:rPr>
          <w:rFonts w:ascii="Verdana" w:eastAsia="Times" w:hAnsi="Verdana"/>
          <w:sz w:val="22"/>
          <w:szCs w:val="22"/>
          <w:lang w:eastAsia="en-US"/>
        </w:rPr>
        <w:t>listings, thereby indicating that brand substitution is NOT an option for these medicines.</w:t>
      </w:r>
    </w:p>
    <w:p w14:paraId="77A1AC84" w14:textId="77777777" w:rsidR="00356AEB" w:rsidRPr="00591488" w:rsidRDefault="00CD30AD" w:rsidP="00356AEB">
      <w:pPr>
        <w:pStyle w:val="NormalWeb"/>
        <w:spacing w:before="120" w:beforeAutospacing="0" w:after="0" w:afterAutospacing="0"/>
        <w:rPr>
          <w:rFonts w:ascii="Verdana" w:eastAsia="Times" w:hAnsi="Verdana"/>
          <w:sz w:val="22"/>
          <w:szCs w:val="22"/>
          <w:lang w:eastAsia="en-US"/>
        </w:rPr>
      </w:pPr>
      <w:bookmarkStart w:id="62" w:name="_Ref17913739"/>
      <w:r w:rsidRPr="009E0D51">
        <w:rPr>
          <w:rFonts w:ascii="Verdana" w:eastAsia="Times" w:hAnsi="Verdana"/>
          <w:sz w:val="22"/>
          <w:szCs w:val="22"/>
          <w:lang w:eastAsia="en-US"/>
        </w:rPr>
        <w:t>In this example</w:t>
      </w:r>
      <w:r w:rsidR="000C7A8C" w:rsidRPr="009E0D51">
        <w:rPr>
          <w:rFonts w:ascii="Verdana" w:eastAsia="Times" w:hAnsi="Verdana"/>
          <w:sz w:val="22"/>
          <w:szCs w:val="22"/>
          <w:lang w:eastAsia="en-US"/>
        </w:rPr>
        <w:t>, a</w:t>
      </w:r>
      <w:r w:rsidR="00356AEB" w:rsidRPr="00D432C1">
        <w:rPr>
          <w:rFonts w:ascii="Verdana" w:eastAsia="Times" w:hAnsi="Verdana"/>
          <w:sz w:val="22"/>
          <w:szCs w:val="22"/>
          <w:lang w:eastAsia="en-US"/>
        </w:rPr>
        <w:t xml:space="preserve">ll drugs containing the active ingredient </w:t>
      </w:r>
      <w:r w:rsidR="00356AEB" w:rsidRPr="00D432C1">
        <w:rPr>
          <w:rFonts w:ascii="Verdana" w:eastAsia="Times" w:hAnsi="Verdana"/>
          <w:i/>
          <w:iCs/>
          <w:sz w:val="22"/>
          <w:szCs w:val="22"/>
          <w:lang w:eastAsia="en-US"/>
        </w:rPr>
        <w:t>Warf</w:t>
      </w:r>
      <w:r w:rsidR="008B3D8A">
        <w:rPr>
          <w:rFonts w:ascii="Verdana" w:eastAsia="Times" w:hAnsi="Verdana"/>
          <w:i/>
          <w:iCs/>
          <w:sz w:val="22"/>
          <w:szCs w:val="22"/>
          <w:lang w:eastAsia="en-US"/>
        </w:rPr>
        <w:t>ar</w:t>
      </w:r>
      <w:r w:rsidR="00356AEB" w:rsidRPr="00D432C1">
        <w:rPr>
          <w:rFonts w:ascii="Verdana" w:eastAsia="Times" w:hAnsi="Verdana"/>
          <w:i/>
          <w:iCs/>
          <w:sz w:val="22"/>
          <w:szCs w:val="22"/>
          <w:lang w:eastAsia="en-US"/>
        </w:rPr>
        <w:t>in</w:t>
      </w:r>
      <w:r w:rsidR="00356AEB" w:rsidRPr="00D432C1">
        <w:rPr>
          <w:rFonts w:ascii="Verdana" w:eastAsia="Times" w:hAnsi="Verdana"/>
          <w:sz w:val="22"/>
          <w:szCs w:val="22"/>
          <w:lang w:eastAsia="en-US"/>
        </w:rPr>
        <w:t xml:space="preserve"> </w:t>
      </w:r>
      <w:r w:rsidR="0080408E" w:rsidRPr="00D432C1">
        <w:rPr>
          <w:rFonts w:ascii="Verdana" w:eastAsia="Times" w:hAnsi="Verdana"/>
          <w:sz w:val="22"/>
          <w:szCs w:val="22"/>
          <w:lang w:eastAsia="en-US"/>
        </w:rPr>
        <w:t xml:space="preserve">or </w:t>
      </w:r>
      <w:r w:rsidR="0080408E" w:rsidRPr="00594D3E">
        <w:rPr>
          <w:rFonts w:ascii="Verdana" w:eastAsia="Times" w:hAnsi="Verdana"/>
          <w:i/>
          <w:iCs/>
          <w:sz w:val="22"/>
          <w:szCs w:val="22"/>
          <w:lang w:eastAsia="en-US"/>
        </w:rPr>
        <w:t>Clozapine</w:t>
      </w:r>
      <w:r w:rsidR="0080408E" w:rsidRPr="00594D3E">
        <w:rPr>
          <w:rFonts w:ascii="Verdana" w:eastAsia="Times" w:hAnsi="Verdana"/>
          <w:sz w:val="22"/>
          <w:szCs w:val="22"/>
          <w:lang w:eastAsia="en-US"/>
        </w:rPr>
        <w:t xml:space="preserve"> </w:t>
      </w:r>
      <w:r w:rsidR="000C7A8C" w:rsidRPr="00594D3E">
        <w:rPr>
          <w:rFonts w:ascii="Verdana" w:eastAsia="Times" w:hAnsi="Verdana"/>
          <w:sz w:val="22"/>
          <w:szCs w:val="22"/>
          <w:lang w:eastAsia="en-US"/>
        </w:rPr>
        <w:t>will</w:t>
      </w:r>
      <w:r w:rsidR="00356AEB" w:rsidRPr="00594D3E">
        <w:rPr>
          <w:rFonts w:ascii="Verdana" w:eastAsia="Times" w:hAnsi="Verdana"/>
          <w:sz w:val="22"/>
          <w:szCs w:val="22"/>
          <w:lang w:eastAsia="en-US"/>
        </w:rPr>
        <w:t xml:space="preserve"> be included on the </w:t>
      </w:r>
      <w:r w:rsidR="00D24E20" w:rsidRPr="0052119C">
        <w:rPr>
          <w:rFonts w:ascii="Verdana" w:hAnsi="Verdana"/>
          <w:sz w:val="22"/>
          <w:szCs w:val="22"/>
        </w:rPr>
        <w:t>LMBC</w:t>
      </w:r>
      <w:r w:rsidR="00356AEB" w:rsidRPr="00591488">
        <w:rPr>
          <w:rFonts w:ascii="Verdana" w:eastAsia="Times" w:hAnsi="Verdana"/>
          <w:sz w:val="22"/>
          <w:szCs w:val="22"/>
          <w:lang w:eastAsia="en-US"/>
        </w:rPr>
        <w:t xml:space="preserve"> list.</w:t>
      </w:r>
    </w:p>
    <w:p w14:paraId="1064333A" w14:textId="77777777" w:rsidR="00356AEB" w:rsidRPr="009E0D51" w:rsidRDefault="00356AEB" w:rsidP="00356AEB">
      <w:pPr>
        <w:pStyle w:val="NormalWeb"/>
        <w:spacing w:before="120" w:beforeAutospacing="0" w:after="0" w:afterAutospacing="0"/>
        <w:rPr>
          <w:rFonts w:ascii="Verdana" w:eastAsia="Times" w:hAnsi="Verdana"/>
          <w:sz w:val="22"/>
          <w:szCs w:val="22"/>
          <w:lang w:eastAsia="en-US"/>
        </w:rPr>
      </w:pPr>
      <w:r w:rsidRPr="005F663D">
        <w:rPr>
          <w:rFonts w:ascii="Verdana" w:eastAsia="Times" w:hAnsi="Verdana"/>
          <w:b/>
          <w:bCs/>
          <w:sz w:val="22"/>
          <w:szCs w:val="22"/>
          <w:lang w:eastAsia="en-US"/>
        </w:rPr>
        <w:t>Please Note:</w:t>
      </w:r>
      <w:r w:rsidRPr="005F663D">
        <w:rPr>
          <w:rFonts w:ascii="Verdana" w:eastAsia="Times" w:hAnsi="Verdana"/>
          <w:sz w:val="22"/>
          <w:szCs w:val="22"/>
          <w:lang w:eastAsia="en-US"/>
        </w:rPr>
        <w:t xml:space="preserve"> </w:t>
      </w:r>
      <w:r w:rsidRPr="005F663D">
        <w:rPr>
          <w:rFonts w:ascii="Verdana" w:eastAsia="Times" w:hAnsi="Verdana"/>
          <w:sz w:val="22"/>
          <w:szCs w:val="22"/>
          <w:lang w:eastAsia="en-US"/>
        </w:rPr>
        <w:br/>
        <w:t xml:space="preserve">Unless </w:t>
      </w:r>
      <w:r w:rsidR="0080408E" w:rsidRPr="009E0D51">
        <w:rPr>
          <w:rFonts w:ascii="Verdana" w:eastAsia="Times" w:hAnsi="Verdana"/>
          <w:sz w:val="22"/>
          <w:szCs w:val="22"/>
          <w:lang w:eastAsia="en-US"/>
        </w:rPr>
        <w:t xml:space="preserve">specific </w:t>
      </w:r>
      <w:r w:rsidRPr="009E0D51">
        <w:rPr>
          <w:rFonts w:ascii="Verdana" w:eastAsia="Times" w:hAnsi="Verdana"/>
          <w:sz w:val="22"/>
          <w:szCs w:val="22"/>
          <w:lang w:eastAsia="en-US"/>
        </w:rPr>
        <w:t>jurisdiction</w:t>
      </w:r>
      <w:r w:rsidR="00AA5784">
        <w:rPr>
          <w:rFonts w:ascii="Verdana" w:eastAsia="Times" w:hAnsi="Verdana"/>
          <w:sz w:val="22"/>
          <w:szCs w:val="22"/>
          <w:lang w:eastAsia="en-US"/>
        </w:rPr>
        <w:t>s</w:t>
      </w:r>
      <w:r w:rsidRPr="009E0D51">
        <w:rPr>
          <w:rFonts w:ascii="Verdana" w:eastAsia="Times" w:hAnsi="Verdana"/>
          <w:sz w:val="22"/>
          <w:szCs w:val="22"/>
          <w:lang w:eastAsia="en-US"/>
        </w:rPr>
        <w:t xml:space="preserve"> regulate to the contrary, the active ingredient must still be included on the prescription for </w:t>
      </w:r>
      <w:r w:rsidRPr="009E0D51">
        <w:rPr>
          <w:rFonts w:ascii="Verdana" w:eastAsia="Times" w:hAnsi="Verdana"/>
          <w:i/>
          <w:iCs/>
          <w:sz w:val="22"/>
          <w:szCs w:val="22"/>
          <w:lang w:eastAsia="en-US"/>
        </w:rPr>
        <w:t>War</w:t>
      </w:r>
      <w:r w:rsidR="008B3D8A">
        <w:rPr>
          <w:rFonts w:ascii="Verdana" w:eastAsia="Times" w:hAnsi="Verdana"/>
          <w:i/>
          <w:iCs/>
          <w:sz w:val="22"/>
          <w:szCs w:val="22"/>
          <w:lang w:eastAsia="en-US"/>
        </w:rPr>
        <w:t>f</w:t>
      </w:r>
      <w:r w:rsidRPr="009E0D51">
        <w:rPr>
          <w:rFonts w:ascii="Verdana" w:eastAsia="Times" w:hAnsi="Verdana"/>
          <w:i/>
          <w:iCs/>
          <w:sz w:val="22"/>
          <w:szCs w:val="22"/>
          <w:lang w:eastAsia="en-US"/>
        </w:rPr>
        <w:t>a</w:t>
      </w:r>
      <w:r w:rsidR="008B3D8A">
        <w:rPr>
          <w:rFonts w:ascii="Verdana" w:eastAsia="Times" w:hAnsi="Verdana"/>
          <w:i/>
          <w:iCs/>
          <w:sz w:val="22"/>
          <w:szCs w:val="22"/>
          <w:lang w:eastAsia="en-US"/>
        </w:rPr>
        <w:t>r</w:t>
      </w:r>
      <w:r w:rsidRPr="009E0D51">
        <w:rPr>
          <w:rFonts w:ascii="Verdana" w:eastAsia="Times" w:hAnsi="Verdana"/>
          <w:i/>
          <w:iCs/>
          <w:sz w:val="22"/>
          <w:szCs w:val="22"/>
          <w:lang w:eastAsia="en-US"/>
        </w:rPr>
        <w:t>in</w:t>
      </w:r>
      <w:r w:rsidR="00B127AB" w:rsidRPr="009E0D51">
        <w:rPr>
          <w:rFonts w:ascii="Verdana" w:eastAsia="Times" w:hAnsi="Verdana"/>
          <w:i/>
          <w:iCs/>
          <w:sz w:val="22"/>
          <w:szCs w:val="22"/>
          <w:lang w:eastAsia="en-US"/>
        </w:rPr>
        <w:t xml:space="preserve"> (and Clozapine)</w:t>
      </w:r>
      <w:r w:rsidRPr="009E0D51">
        <w:rPr>
          <w:rFonts w:ascii="Verdana" w:eastAsia="Times" w:hAnsi="Verdana"/>
          <w:sz w:val="22"/>
          <w:szCs w:val="22"/>
          <w:lang w:eastAsia="en-US"/>
        </w:rPr>
        <w:t>.</w:t>
      </w:r>
    </w:p>
    <w:p w14:paraId="6F0DE181" w14:textId="77777777" w:rsidR="00356AEB" w:rsidRPr="0052119C" w:rsidRDefault="00356AEB" w:rsidP="0052119C">
      <w:pPr>
        <w:pStyle w:val="NormalWeb"/>
        <w:spacing w:before="120" w:beforeAutospacing="0" w:after="360" w:afterAutospacing="0"/>
        <w:rPr>
          <w:rFonts w:ascii="Verdana" w:eastAsia="Times" w:hAnsi="Verdana" w:cstheme="minorHAnsi"/>
          <w:b/>
          <w:bCs/>
          <w:sz w:val="22"/>
          <w:szCs w:val="22"/>
          <w:lang w:eastAsia="en-US"/>
        </w:rPr>
      </w:pPr>
      <w:r w:rsidRPr="00D432C1">
        <w:rPr>
          <w:rFonts w:ascii="Verdana" w:eastAsia="Times" w:hAnsi="Verdana"/>
          <w:sz w:val="22"/>
          <w:szCs w:val="22"/>
          <w:lang w:eastAsia="en-US"/>
        </w:rPr>
        <w:t xml:space="preserve">The following </w:t>
      </w:r>
      <w:r w:rsidR="0052119C">
        <w:rPr>
          <w:rFonts w:ascii="Verdana" w:eastAsia="Times" w:hAnsi="Verdana"/>
          <w:sz w:val="22"/>
          <w:szCs w:val="22"/>
          <w:lang w:eastAsia="en-US"/>
        </w:rPr>
        <w:t xml:space="preserve">formatting </w:t>
      </w:r>
      <w:r w:rsidRPr="00D432C1">
        <w:rPr>
          <w:rFonts w:ascii="Verdana" w:eastAsia="Times" w:hAnsi="Verdana"/>
          <w:sz w:val="22"/>
          <w:szCs w:val="22"/>
          <w:lang w:eastAsia="en-US"/>
        </w:rPr>
        <w:t xml:space="preserve">example </w:t>
      </w:r>
      <w:r w:rsidR="0052119C">
        <w:rPr>
          <w:rFonts w:ascii="Verdana" w:eastAsia="Times" w:hAnsi="Verdana"/>
          <w:sz w:val="22"/>
          <w:szCs w:val="22"/>
          <w:lang w:eastAsia="en-US"/>
        </w:rPr>
        <w:t xml:space="preserve">for Warfarin has been </w:t>
      </w:r>
      <w:r w:rsidRPr="00D432C1">
        <w:rPr>
          <w:rFonts w:ascii="Verdana" w:eastAsia="Times" w:hAnsi="Verdana"/>
          <w:sz w:val="22"/>
          <w:szCs w:val="22"/>
          <w:lang w:eastAsia="en-US"/>
        </w:rPr>
        <w:t>provided by the ACSQ</w:t>
      </w:r>
      <w:r w:rsidRPr="00594D3E">
        <w:rPr>
          <w:rFonts w:ascii="Verdana" w:eastAsia="Times" w:hAnsi="Verdana"/>
          <w:sz w:val="22"/>
          <w:szCs w:val="22"/>
          <w:lang w:eastAsia="en-US"/>
        </w:rPr>
        <w:t>H</w:t>
      </w:r>
      <w:r w:rsidR="00591488">
        <w:rPr>
          <w:rFonts w:ascii="Verdana" w:eastAsia="Times" w:hAnsi="Verdana"/>
          <w:sz w:val="22"/>
          <w:szCs w:val="22"/>
          <w:lang w:eastAsia="en-US"/>
        </w:rPr>
        <w:t>C</w:t>
      </w:r>
      <w:r w:rsidRPr="00591488">
        <w:rPr>
          <w:rFonts w:ascii="Verdana" w:eastAsia="Times" w:hAnsi="Verdana"/>
          <w:sz w:val="22"/>
          <w:szCs w:val="22"/>
          <w:lang w:eastAsia="en-US"/>
        </w:rPr>
        <w:t>:</w:t>
      </w:r>
      <w:r w:rsidR="0052119C">
        <w:rPr>
          <w:rFonts w:ascii="Verdana" w:eastAsia="Times" w:hAnsi="Verdana"/>
          <w:sz w:val="22"/>
          <w:szCs w:val="22"/>
          <w:lang w:eastAsia="en-US"/>
        </w:rPr>
        <w:t xml:space="preserve"> </w:t>
      </w:r>
      <w:r w:rsidRPr="0052119C">
        <w:rPr>
          <w:rFonts w:ascii="Verdana" w:hAnsi="Verdana" w:cstheme="minorHAnsi"/>
          <w:b/>
          <w:bCs/>
          <w:color w:val="7030A0"/>
          <w:sz w:val="22"/>
          <w:szCs w:val="22"/>
        </w:rPr>
        <w:t xml:space="preserve">Warfarin sodium 2 mg </w:t>
      </w:r>
      <w:r w:rsidRPr="00A72E89">
        <w:rPr>
          <w:rFonts w:ascii="Verdana" w:hAnsi="Verdana" w:cstheme="minorHAnsi"/>
          <w:b/>
          <w:bCs/>
          <w:color w:val="7030A0"/>
          <w:sz w:val="18"/>
          <w:szCs w:val="18"/>
        </w:rPr>
        <w:t>(COUMADIN)</w:t>
      </w:r>
      <w:r w:rsidRPr="0052119C">
        <w:rPr>
          <w:rFonts w:ascii="Verdana" w:hAnsi="Verdana" w:cstheme="minorHAnsi"/>
          <w:b/>
          <w:bCs/>
          <w:color w:val="7030A0"/>
          <w:sz w:val="22"/>
          <w:szCs w:val="22"/>
        </w:rPr>
        <w:t xml:space="preserve"> – tablet</w:t>
      </w:r>
      <w:r w:rsidR="00A64C93" w:rsidRPr="0052119C">
        <w:rPr>
          <w:rFonts w:ascii="Verdana" w:hAnsi="Verdana" w:cstheme="minorHAnsi"/>
          <w:b/>
          <w:bCs/>
          <w:color w:val="7030A0"/>
          <w:sz w:val="22"/>
          <w:szCs w:val="22"/>
        </w:rPr>
        <w:t xml:space="preserve">  </w:t>
      </w:r>
      <w:r w:rsidRPr="0052119C">
        <w:rPr>
          <w:rFonts w:ascii="Verdana" w:hAnsi="Verdana" w:cstheme="minorHAnsi"/>
          <w:b/>
          <w:bCs/>
          <w:color w:val="7030A0"/>
          <w:sz w:val="22"/>
          <w:szCs w:val="22"/>
        </w:rPr>
        <w:t>Qty: 50</w:t>
      </w:r>
    </w:p>
    <w:p w14:paraId="0290FCDD" w14:textId="77777777" w:rsidR="00CD79B9" w:rsidRPr="00552EDF" w:rsidRDefault="00CD79B9" w:rsidP="00CD79B9">
      <w:pPr>
        <w:pStyle w:val="Heading3"/>
      </w:pPr>
      <w:bookmarkStart w:id="63" w:name="_Toc57702486"/>
      <w:r w:rsidRPr="00552EDF">
        <w:t>Pre</w:t>
      </w:r>
      <w:r w:rsidR="00391D86">
        <w:t>s</w:t>
      </w:r>
      <w:r w:rsidRPr="00552EDF">
        <w:t xml:space="preserve">criber selects the drug by </w:t>
      </w:r>
      <w:r w:rsidR="003E0061">
        <w:t xml:space="preserve">active </w:t>
      </w:r>
      <w:r w:rsidR="006967EA">
        <w:t>i</w:t>
      </w:r>
      <w:r w:rsidRPr="00552EDF">
        <w:t xml:space="preserve">ngredient </w:t>
      </w:r>
      <w:r w:rsidR="006967EA">
        <w:t>n</w:t>
      </w:r>
      <w:r w:rsidRPr="00552EDF">
        <w:t>ame</w:t>
      </w:r>
      <w:bookmarkEnd w:id="62"/>
      <w:bookmarkEnd w:id="63"/>
    </w:p>
    <w:p w14:paraId="0F416C73" w14:textId="0B73ED47" w:rsidR="00E1699B" w:rsidRDefault="00CD79B9" w:rsidP="002C41C7">
      <w:r>
        <w:t>I</w:t>
      </w:r>
      <w:r w:rsidR="00972AF1">
        <w:t>f the prescriber ha</w:t>
      </w:r>
      <w:r>
        <w:t>d</w:t>
      </w:r>
      <w:r w:rsidR="00972AF1">
        <w:t xml:space="preserve"> selected the item by ingredient name (</w:t>
      </w:r>
      <w:r w:rsidR="00356AEB">
        <w:rPr>
          <w:i/>
          <w:iCs/>
        </w:rPr>
        <w:t>W</w:t>
      </w:r>
      <w:r w:rsidR="00972AF1" w:rsidRPr="00E1699B">
        <w:rPr>
          <w:i/>
          <w:iCs/>
        </w:rPr>
        <w:t>arfarin</w:t>
      </w:r>
      <w:r w:rsidR="00972AF1">
        <w:rPr>
          <w:i/>
          <w:iCs/>
        </w:rPr>
        <w:t xml:space="preserve"> </w:t>
      </w:r>
      <w:r w:rsidR="00972AF1" w:rsidRPr="0080310D">
        <w:rPr>
          <w:i/>
          <w:iCs/>
        </w:rPr>
        <w:t>in this example</w:t>
      </w:r>
      <w:r w:rsidR="0080310D" w:rsidRPr="0080310D">
        <w:rPr>
          <w:i/>
          <w:iCs/>
        </w:rPr>
        <w:t>,</w:t>
      </w:r>
      <w:r w:rsidR="00356AEB" w:rsidRPr="00356AEB">
        <w:rPr>
          <w:i/>
          <w:iCs/>
        </w:rPr>
        <w:t xml:space="preserve"> </w:t>
      </w:r>
      <w:r w:rsidR="00356AEB">
        <w:rPr>
          <w:i/>
          <w:iCs/>
        </w:rPr>
        <w:t xml:space="preserve">also </w:t>
      </w:r>
      <w:r w:rsidR="00356AEB" w:rsidRPr="0080310D">
        <w:rPr>
          <w:i/>
          <w:iCs/>
        </w:rPr>
        <w:t xml:space="preserve">noting its inclusion on the </w:t>
      </w:r>
      <w:r w:rsidR="00D24E20">
        <w:rPr>
          <w:i/>
          <w:iCs/>
        </w:rPr>
        <w:t>LMBC</w:t>
      </w:r>
      <w:r w:rsidR="00972AF1" w:rsidRPr="00972AF1">
        <w:t>)</w:t>
      </w:r>
      <w:r w:rsidR="00972AF1">
        <w:t xml:space="preserve">, </w:t>
      </w:r>
      <w:r w:rsidR="00E1699B">
        <w:t>the program</w:t>
      </w:r>
      <w:r w:rsidR="00A0195F">
        <w:t xml:space="preserve"> </w:t>
      </w:r>
      <w:r w:rsidR="000C7A8C">
        <w:t xml:space="preserve">MUST </w:t>
      </w:r>
      <w:r w:rsidR="0080310D">
        <w:t>alert</w:t>
      </w:r>
      <w:r w:rsidR="00A0195F">
        <w:t xml:space="preserve"> </w:t>
      </w:r>
      <w:r w:rsidR="00E1699B">
        <w:t xml:space="preserve">the prescriber </w:t>
      </w:r>
      <w:r w:rsidR="00B465CA">
        <w:t xml:space="preserve">to consider </w:t>
      </w:r>
      <w:r w:rsidR="00B6234A">
        <w:t>if</w:t>
      </w:r>
      <w:r w:rsidR="003E0061">
        <w:t xml:space="preserve"> </w:t>
      </w:r>
      <w:r w:rsidR="00B6234A">
        <w:t xml:space="preserve">the </w:t>
      </w:r>
      <w:r w:rsidR="003E0061">
        <w:t>prescription should</w:t>
      </w:r>
      <w:r w:rsidR="00A0195F">
        <w:t xml:space="preserve"> </w:t>
      </w:r>
      <w:r w:rsidR="00B465CA">
        <w:t>include</w:t>
      </w:r>
      <w:r w:rsidR="006967EA">
        <w:t xml:space="preserve"> </w:t>
      </w:r>
      <w:r w:rsidR="00A0195F" w:rsidRPr="0080310D">
        <w:t xml:space="preserve">the brand </w:t>
      </w:r>
      <w:r w:rsidR="0080310D" w:rsidRPr="0080310D">
        <w:t xml:space="preserve">of </w:t>
      </w:r>
      <w:r w:rsidR="00356AEB">
        <w:rPr>
          <w:i/>
          <w:iCs/>
        </w:rPr>
        <w:t>W</w:t>
      </w:r>
      <w:r w:rsidR="0080310D" w:rsidRPr="0080310D">
        <w:rPr>
          <w:i/>
          <w:iCs/>
        </w:rPr>
        <w:t>ar</w:t>
      </w:r>
      <w:r w:rsidR="0080310D">
        <w:rPr>
          <w:i/>
          <w:iCs/>
        </w:rPr>
        <w:t>f</w:t>
      </w:r>
      <w:r w:rsidR="0080310D" w:rsidRPr="0080310D">
        <w:rPr>
          <w:i/>
          <w:iCs/>
        </w:rPr>
        <w:t>a</w:t>
      </w:r>
      <w:r w:rsidR="0080310D">
        <w:rPr>
          <w:i/>
          <w:iCs/>
        </w:rPr>
        <w:t>r</w:t>
      </w:r>
      <w:r w:rsidR="0080310D" w:rsidRPr="0080310D">
        <w:rPr>
          <w:i/>
          <w:iCs/>
        </w:rPr>
        <w:t>in</w:t>
      </w:r>
      <w:r w:rsidR="0080310D" w:rsidRPr="0080310D">
        <w:t xml:space="preserve"> prescribed</w:t>
      </w:r>
      <w:r w:rsidR="000C7A8C">
        <w:t>, the process of which is detailed in secti</w:t>
      </w:r>
      <w:r w:rsidR="0050223B">
        <w:t>on</w:t>
      </w:r>
      <w:r w:rsidR="00006CD3">
        <w:t xml:space="preserve"> </w:t>
      </w:r>
      <w:r w:rsidR="00006CD3">
        <w:fldChar w:fldCharType="begin"/>
      </w:r>
      <w:r w:rsidR="00006CD3">
        <w:instrText xml:space="preserve"> REF _Ref23403294 \r \h </w:instrText>
      </w:r>
      <w:r w:rsidR="00006CD3">
        <w:fldChar w:fldCharType="separate"/>
      </w:r>
      <w:r w:rsidR="005B1F80">
        <w:t>4.2.1</w:t>
      </w:r>
      <w:r w:rsidR="00006CD3">
        <w:fldChar w:fldCharType="end"/>
      </w:r>
      <w:r w:rsidR="007A54F2">
        <w:t>.</w:t>
      </w:r>
    </w:p>
    <w:p w14:paraId="5BEA3A2A" w14:textId="77777777" w:rsidR="00CD79B9" w:rsidRPr="00552EDF" w:rsidRDefault="00CD79B9" w:rsidP="00CD79B9">
      <w:pPr>
        <w:pStyle w:val="Heading3"/>
      </w:pPr>
      <w:bookmarkStart w:id="64" w:name="_Toc57702487"/>
      <w:r w:rsidRPr="00552EDF">
        <w:lastRenderedPageBreak/>
        <w:t>Pre</w:t>
      </w:r>
      <w:r w:rsidR="00391D86">
        <w:t>s</w:t>
      </w:r>
      <w:r w:rsidRPr="00552EDF">
        <w:t xml:space="preserve">criber selects the drug by </w:t>
      </w:r>
      <w:r>
        <w:t>Brand</w:t>
      </w:r>
      <w:bookmarkEnd w:id="64"/>
    </w:p>
    <w:p w14:paraId="43C64B8D" w14:textId="6C61CA4A" w:rsidR="00B465CA" w:rsidRDefault="00CD79B9" w:rsidP="003467EB">
      <w:pPr>
        <w:pStyle w:val="Heading2"/>
        <w:numPr>
          <w:ilvl w:val="0"/>
          <w:numId w:val="0"/>
        </w:numPr>
        <w:spacing w:before="120" w:after="480"/>
        <w:rPr>
          <w:bCs w:val="0"/>
          <w:color w:val="auto"/>
          <w:sz w:val="22"/>
          <w:szCs w:val="20"/>
        </w:rPr>
      </w:pPr>
      <w:bookmarkStart w:id="65" w:name="_Toc57702488"/>
      <w:r w:rsidRPr="006967EA">
        <w:rPr>
          <w:bCs w:val="0"/>
          <w:color w:val="auto"/>
          <w:sz w:val="22"/>
          <w:szCs w:val="20"/>
        </w:rPr>
        <w:t>I</w:t>
      </w:r>
      <w:r w:rsidR="00A0195F" w:rsidRPr="006967EA">
        <w:rPr>
          <w:bCs w:val="0"/>
          <w:color w:val="auto"/>
          <w:sz w:val="22"/>
          <w:szCs w:val="20"/>
        </w:rPr>
        <w:t xml:space="preserve">t is a requirement to include </w:t>
      </w:r>
      <w:r w:rsidR="00E1699B" w:rsidRPr="006967EA">
        <w:rPr>
          <w:bCs w:val="0"/>
          <w:color w:val="auto"/>
          <w:sz w:val="22"/>
          <w:szCs w:val="20"/>
        </w:rPr>
        <w:t>the</w:t>
      </w:r>
      <w:r w:rsidR="003E0061" w:rsidRPr="006967EA">
        <w:rPr>
          <w:bCs w:val="0"/>
          <w:color w:val="auto"/>
          <w:sz w:val="22"/>
          <w:szCs w:val="20"/>
        </w:rPr>
        <w:t xml:space="preserve"> active</w:t>
      </w:r>
      <w:r w:rsidR="00E1699B" w:rsidRPr="006967EA">
        <w:rPr>
          <w:bCs w:val="0"/>
          <w:color w:val="auto"/>
          <w:sz w:val="22"/>
          <w:szCs w:val="20"/>
        </w:rPr>
        <w:t xml:space="preserve"> </w:t>
      </w:r>
      <w:r w:rsidR="00A0195F" w:rsidRPr="006967EA">
        <w:rPr>
          <w:bCs w:val="0"/>
          <w:color w:val="auto"/>
          <w:sz w:val="22"/>
          <w:szCs w:val="20"/>
        </w:rPr>
        <w:t>ingredient name</w:t>
      </w:r>
      <w:r w:rsidR="00E1699B" w:rsidRPr="006967EA">
        <w:rPr>
          <w:bCs w:val="0"/>
          <w:color w:val="auto"/>
          <w:sz w:val="22"/>
          <w:szCs w:val="20"/>
        </w:rPr>
        <w:t xml:space="preserve"> </w:t>
      </w:r>
      <w:r w:rsidR="00A0195F" w:rsidRPr="006967EA">
        <w:rPr>
          <w:bCs w:val="0"/>
          <w:color w:val="auto"/>
          <w:sz w:val="22"/>
          <w:szCs w:val="20"/>
        </w:rPr>
        <w:t>prior to the brand.</w:t>
      </w:r>
      <w:bookmarkEnd w:id="65"/>
    </w:p>
    <w:p w14:paraId="294D4873" w14:textId="77777777" w:rsidR="00385737" w:rsidRPr="00B465CA" w:rsidRDefault="00385737" w:rsidP="00B127AB">
      <w:pPr>
        <w:pStyle w:val="Heading2"/>
      </w:pPr>
      <w:bookmarkStart w:id="66" w:name="_Toc57702489"/>
      <w:r w:rsidRPr="00B465CA">
        <w:t>F1 Medicines</w:t>
      </w:r>
      <w:bookmarkEnd w:id="66"/>
    </w:p>
    <w:p w14:paraId="14E130A8" w14:textId="50B915E4" w:rsidR="00DA786A" w:rsidRDefault="00385737" w:rsidP="00235319">
      <w:pPr>
        <w:pStyle w:val="Heading2"/>
        <w:numPr>
          <w:ilvl w:val="0"/>
          <w:numId w:val="0"/>
        </w:numPr>
      </w:pPr>
      <w:bookmarkStart w:id="67" w:name="_Toc57702490"/>
      <w:r w:rsidRPr="00DA786A">
        <w:rPr>
          <w:bCs w:val="0"/>
          <w:color w:val="auto"/>
          <w:sz w:val="22"/>
          <w:szCs w:val="20"/>
        </w:rPr>
        <w:t>Prescriptions for F1 medicines (</w:t>
      </w:r>
      <w:r w:rsidR="00D32425" w:rsidRPr="00DA786A">
        <w:rPr>
          <w:bCs w:val="0"/>
          <w:color w:val="auto"/>
          <w:sz w:val="22"/>
          <w:szCs w:val="20"/>
        </w:rPr>
        <w:t>i.e.</w:t>
      </w:r>
      <w:r w:rsidRPr="00DA786A">
        <w:rPr>
          <w:bCs w:val="0"/>
          <w:color w:val="auto"/>
          <w:sz w:val="22"/>
          <w:szCs w:val="20"/>
        </w:rPr>
        <w:t xml:space="preserve"> Originator products for which no generic alternative is available) </w:t>
      </w:r>
      <w:r w:rsidR="00B465CA" w:rsidRPr="00DA786A">
        <w:rPr>
          <w:bCs w:val="0"/>
          <w:color w:val="auto"/>
          <w:sz w:val="22"/>
          <w:szCs w:val="20"/>
        </w:rPr>
        <w:t>must</w:t>
      </w:r>
      <w:r w:rsidRPr="00DA786A">
        <w:rPr>
          <w:bCs w:val="0"/>
          <w:color w:val="auto"/>
          <w:sz w:val="22"/>
          <w:szCs w:val="20"/>
        </w:rPr>
        <w:t xml:space="preserve"> also include </w:t>
      </w:r>
      <w:r w:rsidR="00C96135" w:rsidRPr="00DA786A">
        <w:rPr>
          <w:bCs w:val="0"/>
          <w:color w:val="auto"/>
          <w:sz w:val="22"/>
          <w:szCs w:val="20"/>
        </w:rPr>
        <w:t xml:space="preserve">the </w:t>
      </w:r>
      <w:r w:rsidR="004649FB" w:rsidRPr="00DA786A">
        <w:rPr>
          <w:bCs w:val="0"/>
          <w:color w:val="auto"/>
          <w:sz w:val="22"/>
          <w:szCs w:val="20"/>
        </w:rPr>
        <w:t>a</w:t>
      </w:r>
      <w:r w:rsidRPr="00DA786A">
        <w:rPr>
          <w:bCs w:val="0"/>
          <w:color w:val="auto"/>
          <w:sz w:val="22"/>
          <w:szCs w:val="20"/>
        </w:rPr>
        <w:t xml:space="preserve">ctive </w:t>
      </w:r>
      <w:r w:rsidR="004649FB" w:rsidRPr="00DA786A">
        <w:rPr>
          <w:bCs w:val="0"/>
          <w:color w:val="auto"/>
          <w:sz w:val="22"/>
          <w:szCs w:val="20"/>
        </w:rPr>
        <w:t>i</w:t>
      </w:r>
      <w:r w:rsidRPr="00DA786A">
        <w:rPr>
          <w:bCs w:val="0"/>
          <w:color w:val="auto"/>
          <w:sz w:val="22"/>
          <w:szCs w:val="20"/>
        </w:rPr>
        <w:t>ngredient</w:t>
      </w:r>
      <w:r w:rsidR="00B465CA" w:rsidRPr="00DA786A">
        <w:rPr>
          <w:bCs w:val="0"/>
          <w:color w:val="auto"/>
          <w:sz w:val="22"/>
          <w:szCs w:val="20"/>
        </w:rPr>
        <w:t>(s)</w:t>
      </w:r>
      <w:r w:rsidRPr="00DA786A">
        <w:rPr>
          <w:bCs w:val="0"/>
          <w:color w:val="auto"/>
          <w:sz w:val="22"/>
          <w:szCs w:val="20"/>
        </w:rPr>
        <w:t xml:space="preserve"> first </w:t>
      </w:r>
      <w:r w:rsidR="00B465CA" w:rsidRPr="00DA786A">
        <w:rPr>
          <w:bCs w:val="0"/>
          <w:color w:val="auto"/>
          <w:sz w:val="22"/>
          <w:szCs w:val="20"/>
        </w:rPr>
        <w:t xml:space="preserve">with the requirement that </w:t>
      </w:r>
      <w:r w:rsidRPr="00DA786A">
        <w:rPr>
          <w:bCs w:val="0"/>
          <w:color w:val="auto"/>
          <w:sz w:val="22"/>
          <w:szCs w:val="20"/>
        </w:rPr>
        <w:t xml:space="preserve">the prescriber </w:t>
      </w:r>
      <w:r w:rsidR="00B465CA" w:rsidRPr="00DA786A">
        <w:rPr>
          <w:bCs w:val="0"/>
          <w:color w:val="auto"/>
          <w:sz w:val="22"/>
          <w:szCs w:val="20"/>
        </w:rPr>
        <w:t>must</w:t>
      </w:r>
      <w:r w:rsidRPr="00DA786A">
        <w:rPr>
          <w:bCs w:val="0"/>
          <w:color w:val="auto"/>
          <w:sz w:val="22"/>
          <w:szCs w:val="20"/>
        </w:rPr>
        <w:t xml:space="preserve"> specifically indicate if the brand name is to be included on the prescription</w:t>
      </w:r>
      <w:r w:rsidR="00D75697" w:rsidRPr="00DA786A">
        <w:rPr>
          <w:bCs w:val="0"/>
          <w:color w:val="auto"/>
          <w:sz w:val="22"/>
          <w:szCs w:val="20"/>
        </w:rPr>
        <w:t xml:space="preserve"> </w:t>
      </w:r>
      <w:r w:rsidR="00B465CA" w:rsidRPr="00DA786A">
        <w:rPr>
          <w:bCs w:val="0"/>
          <w:color w:val="auto"/>
          <w:sz w:val="22"/>
          <w:szCs w:val="20"/>
        </w:rPr>
        <w:t>- see</w:t>
      </w:r>
      <w:r w:rsidR="00D75697" w:rsidRPr="00DA786A">
        <w:rPr>
          <w:bCs w:val="0"/>
          <w:color w:val="auto"/>
          <w:sz w:val="22"/>
          <w:szCs w:val="20"/>
        </w:rPr>
        <w:t xml:space="preserve"> section </w:t>
      </w:r>
      <w:r w:rsidR="00E40AF7" w:rsidRPr="00235319">
        <w:rPr>
          <w:bCs w:val="0"/>
          <w:color w:val="auto"/>
          <w:sz w:val="22"/>
          <w:szCs w:val="20"/>
        </w:rPr>
        <w:fldChar w:fldCharType="begin"/>
      </w:r>
      <w:r w:rsidR="00E40AF7" w:rsidRPr="00DA786A">
        <w:rPr>
          <w:bCs w:val="0"/>
          <w:color w:val="auto"/>
          <w:sz w:val="22"/>
          <w:szCs w:val="20"/>
        </w:rPr>
        <w:instrText xml:space="preserve"> REF _Ref31462765 \r \h </w:instrText>
      </w:r>
      <w:r w:rsidR="00DA786A">
        <w:rPr>
          <w:bCs w:val="0"/>
          <w:color w:val="auto"/>
          <w:sz w:val="22"/>
          <w:szCs w:val="20"/>
        </w:rPr>
        <w:instrText xml:space="preserve"> \* MERGEFORMAT </w:instrText>
      </w:r>
      <w:r w:rsidR="00E40AF7" w:rsidRPr="00235319">
        <w:rPr>
          <w:bCs w:val="0"/>
          <w:color w:val="auto"/>
          <w:sz w:val="22"/>
          <w:szCs w:val="20"/>
        </w:rPr>
      </w:r>
      <w:r w:rsidR="00E40AF7" w:rsidRPr="00235319">
        <w:rPr>
          <w:bCs w:val="0"/>
          <w:color w:val="auto"/>
          <w:sz w:val="22"/>
          <w:szCs w:val="20"/>
        </w:rPr>
        <w:fldChar w:fldCharType="separate"/>
      </w:r>
      <w:r w:rsidR="005B1F80">
        <w:rPr>
          <w:bCs w:val="0"/>
          <w:color w:val="auto"/>
          <w:sz w:val="22"/>
          <w:szCs w:val="20"/>
        </w:rPr>
        <w:t>5.2.3</w:t>
      </w:r>
      <w:r w:rsidR="00E40AF7" w:rsidRPr="00235319">
        <w:rPr>
          <w:bCs w:val="0"/>
          <w:color w:val="auto"/>
          <w:sz w:val="22"/>
          <w:szCs w:val="20"/>
        </w:rPr>
        <w:fldChar w:fldCharType="end"/>
      </w:r>
      <w:r w:rsidR="00C96135" w:rsidRPr="00DA786A">
        <w:rPr>
          <w:bCs w:val="0"/>
          <w:color w:val="auto"/>
          <w:sz w:val="22"/>
          <w:szCs w:val="20"/>
        </w:rPr>
        <w:t>.</w:t>
      </w:r>
      <w:bookmarkStart w:id="68" w:name="_Ref25831335"/>
      <w:bookmarkStart w:id="69" w:name="_Ref17009516"/>
      <w:bookmarkEnd w:id="67"/>
    </w:p>
    <w:p w14:paraId="1E145E72" w14:textId="77777777" w:rsidR="00D579A9" w:rsidRPr="00325634" w:rsidRDefault="00D579A9" w:rsidP="00235319">
      <w:pPr>
        <w:pStyle w:val="Heading2"/>
      </w:pPr>
      <w:bookmarkStart w:id="70" w:name="_Toc57702491"/>
      <w:r w:rsidRPr="00235319">
        <w:t>Practical issues associated with the formatting of printed prescriptions</w:t>
      </w:r>
      <w:bookmarkEnd w:id="70"/>
    </w:p>
    <w:p w14:paraId="0E7804D9" w14:textId="77777777" w:rsidR="00D579A9" w:rsidRPr="003467EB" w:rsidRDefault="00D579A9" w:rsidP="00D579A9">
      <w:pPr>
        <w:rPr>
          <w:rFonts w:eastAsiaTheme="minorHAnsi"/>
        </w:rPr>
      </w:pPr>
      <w:r>
        <w:t>PBS regulations specify that a single prescription form may include a maximum of up to three prescribed drugs unless the drug is an Authority Required</w:t>
      </w:r>
      <w:r w:rsidR="00AA5784">
        <w:t xml:space="preserve"> or</w:t>
      </w:r>
      <w:r>
        <w:t xml:space="preserve"> Section 100</w:t>
      </w:r>
      <w:r w:rsidR="00AA5784">
        <w:t>,</w:t>
      </w:r>
      <w:r>
        <w:t xml:space="preserve"> or as otherwise nominated as "one prescription per page" by the jurisdiction.</w:t>
      </w:r>
    </w:p>
    <w:p w14:paraId="2D5EAC9C" w14:textId="77777777" w:rsidR="00D579A9" w:rsidRDefault="00D579A9" w:rsidP="00D579A9">
      <w:r>
        <w:t>The practical implementation of the "Brand substitution not permitted" tick box requires that w</w:t>
      </w:r>
      <w:r w:rsidR="00591488">
        <w:t>h</w:t>
      </w:r>
      <w:r>
        <w:t xml:space="preserve">ere the prescriber has nominated this provision, </w:t>
      </w:r>
      <w:r w:rsidR="00591488">
        <w:t xml:space="preserve">it </w:t>
      </w:r>
      <w:r>
        <w:t>will require the "one prescription per page" scenario to be implemented.</w:t>
      </w:r>
    </w:p>
    <w:p w14:paraId="2410A3DB" w14:textId="232DEC85" w:rsidR="002D34DD" w:rsidRDefault="00D579A9" w:rsidP="003467EB">
      <w:pPr>
        <w:rPr>
          <w:b/>
          <w:bCs/>
        </w:rPr>
      </w:pPr>
      <w:r>
        <w:t>Another practical scenario which may also limit the number of drugs included on a single prescription form will follow as a result of the increased space required to specify each drug prescribed, given that the active ingredients will normally be included.</w:t>
      </w:r>
    </w:p>
    <w:p w14:paraId="2D6AD177" w14:textId="77777777" w:rsidR="00A72E89" w:rsidRDefault="00A72E89" w:rsidP="00A72E89">
      <w:pPr>
        <w:pStyle w:val="Heading2"/>
      </w:pPr>
      <w:bookmarkStart w:id="71" w:name="_Ref48211941"/>
      <w:bookmarkStart w:id="72" w:name="_Toc57702492"/>
      <w:r>
        <w:t>Importance of Consistency</w:t>
      </w:r>
      <w:bookmarkEnd w:id="71"/>
      <w:bookmarkEnd w:id="72"/>
    </w:p>
    <w:p w14:paraId="75F291F4" w14:textId="1C14F43B" w:rsidR="0030150B" w:rsidRDefault="006F31E8" w:rsidP="00A72E89">
      <w:pPr>
        <w:rPr>
          <w:iCs/>
        </w:rPr>
      </w:pPr>
      <w:r>
        <w:t>T</w:t>
      </w:r>
      <w:r w:rsidR="00A72E89">
        <w:t xml:space="preserve">he ACSQHC </w:t>
      </w:r>
      <w:r w:rsidR="00A72E89" w:rsidRPr="00BF1C6D">
        <w:rPr>
          <w:i/>
        </w:rPr>
        <w:t>Guidelines for On-Screen Display of Medicines</w:t>
      </w:r>
      <w:r w:rsidR="00A72E89">
        <w:rPr>
          <w:iCs/>
        </w:rPr>
        <w:t xml:space="preserve"> </w:t>
      </w:r>
      <w:r>
        <w:rPr>
          <w:iCs/>
        </w:rPr>
        <w:t>highlights</w:t>
      </w:r>
      <w:r w:rsidR="00A72E89">
        <w:rPr>
          <w:iCs/>
        </w:rPr>
        <w:t xml:space="preserve"> the importance of consistent presentation </w:t>
      </w:r>
      <w:r>
        <w:rPr>
          <w:iCs/>
        </w:rPr>
        <w:t xml:space="preserve">of medicines information wherever it is visible to consumers. </w:t>
      </w:r>
      <w:r w:rsidR="0030150B">
        <w:rPr>
          <w:iCs/>
        </w:rPr>
        <w:t xml:space="preserve">It is recommended that vendors consider the formatting of prescriptions, and how </w:t>
      </w:r>
      <w:r w:rsidR="00A72E89">
        <w:rPr>
          <w:iCs/>
        </w:rPr>
        <w:t xml:space="preserve">pharmacy </w:t>
      </w:r>
      <w:r w:rsidR="00D0000E">
        <w:rPr>
          <w:iCs/>
        </w:rPr>
        <w:t xml:space="preserve">dispense </w:t>
      </w:r>
      <w:r w:rsidR="00A72E89">
        <w:rPr>
          <w:iCs/>
        </w:rPr>
        <w:t>label</w:t>
      </w:r>
      <w:r w:rsidR="0030150B">
        <w:rPr>
          <w:iCs/>
        </w:rPr>
        <w:t>s will represent this information</w:t>
      </w:r>
      <w:r w:rsidR="00A72E89">
        <w:rPr>
          <w:iCs/>
        </w:rPr>
        <w:t xml:space="preserve"> to ensure that</w:t>
      </w:r>
      <w:r w:rsidR="00D0000E">
        <w:rPr>
          <w:iCs/>
        </w:rPr>
        <w:t xml:space="preserve"> active</w:t>
      </w:r>
      <w:r w:rsidR="00A72E89">
        <w:rPr>
          <w:iCs/>
        </w:rPr>
        <w:t xml:space="preserve"> ingredient name(s) and the brand name utilise consistent formatting</w:t>
      </w:r>
      <w:r w:rsidR="00281B9E">
        <w:rPr>
          <w:iCs/>
        </w:rPr>
        <w:t>.</w:t>
      </w:r>
    </w:p>
    <w:p w14:paraId="7234E059" w14:textId="68DE3BA4" w:rsidR="00D8475E" w:rsidRDefault="0030150B" w:rsidP="00A72E89">
      <w:pPr>
        <w:rPr>
          <w:rFonts w:cstheme="minorHAnsi"/>
          <w:color w:val="0D0D0D" w:themeColor="text1" w:themeTint="F2"/>
          <w:szCs w:val="22"/>
        </w:rPr>
      </w:pPr>
      <w:r>
        <w:rPr>
          <w:iCs/>
        </w:rPr>
        <w:t xml:space="preserve">Where a medicine has multiple active ingredients or different salts vendors might consider having the brand name appear in capital letters as well as brackets (eg. </w:t>
      </w:r>
      <w:r w:rsidR="00A72E89">
        <w:rPr>
          <w:iCs/>
        </w:rPr>
        <w:t>"</w:t>
      </w:r>
      <w:r w:rsidR="00A72E89" w:rsidRPr="00155D57">
        <w:rPr>
          <w:rFonts w:ascii="Verdana Pro" w:hAnsi="Verdana Pro" w:cstheme="minorHAnsi"/>
          <w:color w:val="0D0D0D" w:themeColor="text1" w:themeTint="F2"/>
          <w:szCs w:val="22"/>
        </w:rPr>
        <w:t>Warfarin sodium 2 mg (</w:t>
      </w:r>
      <w:r w:rsidR="00A72E89" w:rsidRPr="00EE61AC">
        <w:rPr>
          <w:rFonts w:ascii="Consolas" w:hAnsi="Consolas" w:cs="Arial"/>
          <w:caps/>
          <w:color w:val="0D0D0D" w:themeColor="text1" w:themeTint="F2"/>
          <w:spacing w:val="20"/>
          <w:szCs w:val="22"/>
        </w:rPr>
        <w:t>COUMADIN</w:t>
      </w:r>
      <w:r w:rsidR="00A72E89" w:rsidRPr="00155D57">
        <w:rPr>
          <w:rFonts w:ascii="Verdana Pro" w:hAnsi="Verdana Pro" w:cstheme="minorHAnsi"/>
          <w:color w:val="0D0D0D" w:themeColor="text1" w:themeTint="F2"/>
          <w:szCs w:val="22"/>
        </w:rPr>
        <w:t>)</w:t>
      </w:r>
      <w:r w:rsidR="00A72E89">
        <w:rPr>
          <w:rFonts w:cstheme="minorHAnsi"/>
          <w:color w:val="0D0D0D" w:themeColor="text1" w:themeTint="F2"/>
          <w:szCs w:val="22"/>
        </w:rPr>
        <w:t>"</w:t>
      </w:r>
      <w:r w:rsidR="00155D57">
        <w:rPr>
          <w:rFonts w:cstheme="minorHAnsi"/>
          <w:color w:val="0D0D0D" w:themeColor="text1" w:themeTint="F2"/>
          <w:szCs w:val="22"/>
        </w:rPr>
        <w:t xml:space="preserve"> </w:t>
      </w:r>
      <w:r>
        <w:rPr>
          <w:rFonts w:cstheme="minorHAnsi"/>
          <w:color w:val="0D0D0D" w:themeColor="text1" w:themeTint="F2"/>
          <w:szCs w:val="22"/>
        </w:rPr>
        <w:t>), or for the brand name to be bolded (eg. “</w:t>
      </w:r>
      <w:r w:rsidRPr="00155D57">
        <w:rPr>
          <w:rFonts w:ascii="Verdana Pro" w:hAnsi="Verdana Pro" w:cstheme="minorHAnsi"/>
          <w:color w:val="0D0D0D" w:themeColor="text1" w:themeTint="F2"/>
          <w:szCs w:val="22"/>
        </w:rPr>
        <w:t>Warfarin sodium 2 mg (</w:t>
      </w:r>
      <w:r w:rsidRPr="00155D57">
        <w:rPr>
          <w:rFonts w:ascii="Verdana Pro" w:hAnsi="Verdana Pro" w:cstheme="minorHAnsi"/>
          <w:b/>
          <w:color w:val="0D0D0D" w:themeColor="text1" w:themeTint="F2"/>
          <w:szCs w:val="22"/>
        </w:rPr>
        <w:t>Coumadin</w:t>
      </w:r>
      <w:r w:rsidRPr="00155D57">
        <w:rPr>
          <w:rFonts w:ascii="Verdana Pro" w:hAnsi="Verdana Pro" w:cstheme="minorHAnsi"/>
          <w:color w:val="0D0D0D" w:themeColor="text1" w:themeTint="F2"/>
          <w:szCs w:val="22"/>
        </w:rPr>
        <w:t>)</w:t>
      </w:r>
      <w:r w:rsidR="00155D57">
        <w:rPr>
          <w:rFonts w:cstheme="minorHAnsi"/>
          <w:color w:val="0D0D0D" w:themeColor="text1" w:themeTint="F2"/>
          <w:sz w:val="18"/>
          <w:szCs w:val="18"/>
        </w:rPr>
        <w:t xml:space="preserve">" </w:t>
      </w:r>
      <w:r>
        <w:rPr>
          <w:rFonts w:cstheme="minorHAnsi"/>
          <w:color w:val="0D0D0D" w:themeColor="text1" w:themeTint="F2"/>
          <w:sz w:val="18"/>
          <w:szCs w:val="18"/>
        </w:rPr>
        <w:t>)</w:t>
      </w:r>
      <w:r w:rsidR="003F0390">
        <w:rPr>
          <w:rFonts w:cstheme="minorHAnsi"/>
          <w:color w:val="0D0D0D" w:themeColor="text1" w:themeTint="F2"/>
          <w:szCs w:val="22"/>
        </w:rPr>
        <w:t>.</w:t>
      </w:r>
    </w:p>
    <w:p w14:paraId="75D621AB" w14:textId="5BAF614E" w:rsidR="00A72E89" w:rsidRDefault="00A72E89" w:rsidP="00A72E89">
      <w:pPr>
        <w:rPr>
          <w:rFonts w:cstheme="minorHAnsi"/>
          <w:color w:val="0D0D0D" w:themeColor="text1" w:themeTint="F2"/>
          <w:szCs w:val="22"/>
        </w:rPr>
      </w:pPr>
      <w:r>
        <w:rPr>
          <w:rFonts w:cstheme="minorHAnsi"/>
          <w:color w:val="0D0D0D" w:themeColor="text1" w:themeTint="F2"/>
          <w:szCs w:val="22"/>
        </w:rPr>
        <w:t>This is a standard which can be consistently implemented between prescribing and dispen</w:t>
      </w:r>
      <w:r w:rsidR="0030150B">
        <w:rPr>
          <w:rFonts w:cstheme="minorHAnsi"/>
          <w:color w:val="0D0D0D" w:themeColor="text1" w:themeTint="F2"/>
          <w:szCs w:val="22"/>
        </w:rPr>
        <w:t>s</w:t>
      </w:r>
      <w:r>
        <w:rPr>
          <w:rFonts w:cstheme="minorHAnsi"/>
          <w:color w:val="0D0D0D" w:themeColor="text1" w:themeTint="F2"/>
          <w:szCs w:val="22"/>
        </w:rPr>
        <w:t>ing prescription presentations for patients.</w:t>
      </w:r>
    </w:p>
    <w:p w14:paraId="32D689D8" w14:textId="77777777" w:rsidR="006E10B2" w:rsidRPr="006E10B2" w:rsidRDefault="00A72E89" w:rsidP="00702F42">
      <w:pPr>
        <w:rPr>
          <w:iCs/>
        </w:rPr>
      </w:pPr>
      <w:r>
        <w:rPr>
          <w:rFonts w:cstheme="minorHAnsi"/>
          <w:color w:val="0D0D0D" w:themeColor="text1" w:themeTint="F2"/>
          <w:szCs w:val="22"/>
        </w:rPr>
        <w:t>The evidence suggests that use of consistent presentation greatly increases consumer safety.</w:t>
      </w:r>
    </w:p>
    <w:p w14:paraId="6B72EC86" w14:textId="77777777" w:rsidR="00702F42" w:rsidRDefault="00702F42">
      <w:pPr>
        <w:spacing w:before="0"/>
      </w:pPr>
      <w:r>
        <w:br w:type="page"/>
      </w:r>
    </w:p>
    <w:p w14:paraId="32E8AE57" w14:textId="77777777" w:rsidR="00702F42" w:rsidRPr="00702F42" w:rsidRDefault="00702F42" w:rsidP="00702F42"/>
    <w:p w14:paraId="23751B8B" w14:textId="77777777" w:rsidR="005F2773" w:rsidRDefault="00DE5D5A" w:rsidP="002D34DD">
      <w:pPr>
        <w:pStyle w:val="Heading1"/>
      </w:pPr>
      <w:bookmarkStart w:id="73" w:name="_Ref25860092"/>
      <w:bookmarkStart w:id="74" w:name="_Toc57702493"/>
      <w:r>
        <w:t>Situations excluded under the Active Ingredient Prescribing Legislations</w:t>
      </w:r>
      <w:bookmarkEnd w:id="73"/>
      <w:r w:rsidR="00227E6F">
        <w:t xml:space="preserve"> </w:t>
      </w:r>
      <w:bookmarkEnd w:id="68"/>
      <w:r w:rsidR="002859EE">
        <w:t>(LEMI)</w:t>
      </w:r>
      <w:bookmarkEnd w:id="74"/>
    </w:p>
    <w:p w14:paraId="5EAE7877" w14:textId="77777777" w:rsidR="0096403A" w:rsidRDefault="005F2773" w:rsidP="0096403A">
      <w:r>
        <w:t xml:space="preserve">This section describes </w:t>
      </w:r>
      <w:r w:rsidR="00AA066C">
        <w:t xml:space="preserve">the </w:t>
      </w:r>
      <w:r w:rsidR="0017297C">
        <w:t>medicines</w:t>
      </w:r>
      <w:r w:rsidR="005E48D3">
        <w:t xml:space="preserve"> and prescriptions</w:t>
      </w:r>
      <w:r w:rsidR="008829AE">
        <w:t xml:space="preserve"> </w:t>
      </w:r>
      <w:r>
        <w:t xml:space="preserve">excluded under the </w:t>
      </w:r>
      <w:r w:rsidR="00591488">
        <w:t>PBS and RPBS AIP</w:t>
      </w:r>
      <w:r>
        <w:t xml:space="preserve"> </w:t>
      </w:r>
      <w:r w:rsidR="005E48D3">
        <w:t>l</w:t>
      </w:r>
      <w:r>
        <w:t>egislation</w:t>
      </w:r>
      <w:r w:rsidR="005E48D3">
        <w:t>,</w:t>
      </w:r>
      <w:r>
        <w:t xml:space="preserve"> </w:t>
      </w:r>
      <w:r w:rsidR="005E48D3">
        <w:t xml:space="preserve">and </w:t>
      </w:r>
      <w:r>
        <w:t xml:space="preserve">where </w:t>
      </w:r>
      <w:r w:rsidR="0017297C">
        <w:t xml:space="preserve">the </w:t>
      </w:r>
      <w:r>
        <w:t>active ingredient name</w:t>
      </w:r>
      <w:r w:rsidR="00324CE5">
        <w:t>(</w:t>
      </w:r>
      <w:r>
        <w:t>s</w:t>
      </w:r>
      <w:r w:rsidR="00324CE5">
        <w:t>)</w:t>
      </w:r>
      <w:r>
        <w:t xml:space="preserve"> are NOT </w:t>
      </w:r>
      <w:r w:rsidR="0096403A">
        <w:t xml:space="preserve">mandated </w:t>
      </w:r>
      <w:r w:rsidR="008829AE">
        <w:t xml:space="preserve">thereby allowing </w:t>
      </w:r>
      <w:r w:rsidR="0096403A">
        <w:t xml:space="preserve">the medicinal item </w:t>
      </w:r>
      <w:r w:rsidR="008829AE">
        <w:t>to</w:t>
      </w:r>
      <w:r w:rsidR="0096403A" w:rsidRPr="001628D5">
        <w:t xml:space="preserve"> be </w:t>
      </w:r>
      <w:r w:rsidR="0096403A">
        <w:t>pr</w:t>
      </w:r>
      <w:r w:rsidR="0096403A" w:rsidRPr="001628D5">
        <w:t xml:space="preserve">escribed by </w:t>
      </w:r>
      <w:r w:rsidR="0096403A">
        <w:t xml:space="preserve">the </w:t>
      </w:r>
      <w:r w:rsidR="0096403A" w:rsidRPr="00751863">
        <w:rPr>
          <w:u w:val="single"/>
        </w:rPr>
        <w:t>brand name only</w:t>
      </w:r>
      <w:r w:rsidR="0096403A">
        <w:t>.</w:t>
      </w:r>
      <w:r w:rsidR="00591488">
        <w:t xml:space="preserve"> These are:</w:t>
      </w:r>
    </w:p>
    <w:bookmarkEnd w:id="69"/>
    <w:p w14:paraId="66504651" w14:textId="48C5BEF2" w:rsidR="00E1699B" w:rsidRDefault="00E1699B" w:rsidP="003467EB">
      <w:pPr>
        <w:pStyle w:val="ListParagraph"/>
        <w:spacing w:before="80"/>
        <w:ind w:left="499" w:hanging="357"/>
      </w:pPr>
      <w:r w:rsidRPr="002C41C7">
        <w:t>Handwritten prescriptions</w:t>
      </w:r>
      <w:r w:rsidR="00DE1DF3">
        <w:t>.</w:t>
      </w:r>
    </w:p>
    <w:p w14:paraId="30A69081" w14:textId="77777777" w:rsidR="005F2773" w:rsidRPr="002C41C7" w:rsidRDefault="005F2773" w:rsidP="003467EB">
      <w:pPr>
        <w:pStyle w:val="ListParagraph"/>
        <w:spacing w:before="80"/>
        <w:ind w:left="499" w:hanging="357"/>
      </w:pPr>
      <w:r w:rsidRPr="002C41C7">
        <w:t xml:space="preserve">Prescriptions with </w:t>
      </w:r>
      <w:r w:rsidRPr="002C41C7">
        <w:rPr>
          <w:b/>
          <w:bCs/>
        </w:rPr>
        <w:t>four or more</w:t>
      </w:r>
      <w:r w:rsidRPr="002C41C7">
        <w:t xml:space="preserve"> active ingredients</w:t>
      </w:r>
      <w:r>
        <w:t xml:space="preserve"> </w:t>
      </w:r>
      <w:r>
        <w:rPr>
          <w:rStyle w:val="FootnoteReference"/>
        </w:rPr>
        <w:footnoteReference w:id="10"/>
      </w:r>
    </w:p>
    <w:p w14:paraId="0102811B" w14:textId="77777777" w:rsidR="00227E6F" w:rsidRDefault="00227E6F" w:rsidP="003467EB">
      <w:pPr>
        <w:pStyle w:val="ListParagraph"/>
        <w:spacing w:before="80"/>
        <w:ind w:left="499" w:hanging="357"/>
      </w:pPr>
      <w:r>
        <w:t>Items listed under the "VARIOUS" section of the General PBS Schedule including:</w:t>
      </w:r>
    </w:p>
    <w:p w14:paraId="581F8CEC" w14:textId="77777777" w:rsidR="00227E6F" w:rsidRDefault="00227E6F" w:rsidP="003467EB">
      <w:pPr>
        <w:pStyle w:val="ListParagraph"/>
        <w:numPr>
          <w:ilvl w:val="2"/>
          <w:numId w:val="12"/>
        </w:numPr>
        <w:spacing w:before="40"/>
        <w:ind w:left="1219" w:hanging="357"/>
      </w:pPr>
      <w:r>
        <w:t>Allergens</w:t>
      </w:r>
    </w:p>
    <w:p w14:paraId="4D6E28B4" w14:textId="77777777" w:rsidR="00227E6F" w:rsidRDefault="00227E6F" w:rsidP="003467EB">
      <w:pPr>
        <w:pStyle w:val="ListParagraph"/>
        <w:numPr>
          <w:ilvl w:val="2"/>
          <w:numId w:val="12"/>
        </w:numPr>
        <w:spacing w:before="40"/>
        <w:ind w:left="1219" w:hanging="357"/>
      </w:pPr>
      <w:r>
        <w:t>Diagnostic Agents</w:t>
      </w:r>
    </w:p>
    <w:p w14:paraId="161C6712" w14:textId="77777777" w:rsidR="00227E6F" w:rsidRDefault="00227E6F" w:rsidP="003467EB">
      <w:pPr>
        <w:pStyle w:val="ListParagraph"/>
        <w:numPr>
          <w:ilvl w:val="2"/>
          <w:numId w:val="12"/>
        </w:numPr>
        <w:spacing w:before="40"/>
        <w:ind w:left="1219" w:hanging="357"/>
      </w:pPr>
      <w:r>
        <w:t>General Nutrients</w:t>
      </w:r>
      <w:r w:rsidR="00F060EB">
        <w:t>,</w:t>
      </w:r>
      <w:r>
        <w:t xml:space="preserve"> Food Supplements</w:t>
      </w:r>
      <w:r w:rsidR="00F060EB">
        <w:t>, Vitamin Supplements</w:t>
      </w:r>
    </w:p>
    <w:p w14:paraId="5AAAE3AC" w14:textId="77777777" w:rsidR="00227E6F" w:rsidRDefault="00227E6F" w:rsidP="003467EB">
      <w:pPr>
        <w:pStyle w:val="ListParagraph"/>
        <w:numPr>
          <w:ilvl w:val="2"/>
          <w:numId w:val="12"/>
        </w:numPr>
        <w:spacing w:before="40"/>
        <w:ind w:left="1219" w:hanging="357"/>
      </w:pPr>
      <w:r>
        <w:t>Wound Assessment and Dressing Section</w:t>
      </w:r>
    </w:p>
    <w:p w14:paraId="68ED17EC" w14:textId="77777777" w:rsidR="00F060EB" w:rsidRDefault="00F060EB" w:rsidP="00F060EB">
      <w:pPr>
        <w:pStyle w:val="ListParagraph"/>
      </w:pPr>
      <w:r>
        <w:t>DVA has included Items listed under the "VARIOUS" section of the RPBS Schedule including:</w:t>
      </w:r>
    </w:p>
    <w:p w14:paraId="6ABB9BCA" w14:textId="77777777" w:rsidR="00F060EB" w:rsidRDefault="00F060EB" w:rsidP="003467EB">
      <w:pPr>
        <w:pStyle w:val="ListParagraph"/>
        <w:numPr>
          <w:ilvl w:val="2"/>
          <w:numId w:val="12"/>
        </w:numPr>
        <w:spacing w:before="40"/>
        <w:ind w:left="1219" w:hanging="357"/>
      </w:pPr>
      <w:r>
        <w:t>Allergens</w:t>
      </w:r>
    </w:p>
    <w:p w14:paraId="3A54732B" w14:textId="77777777" w:rsidR="00F060EB" w:rsidRDefault="00F060EB" w:rsidP="003467EB">
      <w:pPr>
        <w:pStyle w:val="ListParagraph"/>
        <w:numPr>
          <w:ilvl w:val="2"/>
          <w:numId w:val="12"/>
        </w:numPr>
        <w:spacing w:before="40"/>
        <w:ind w:left="1219" w:hanging="357"/>
      </w:pPr>
      <w:r>
        <w:t>Diagnostic Agents</w:t>
      </w:r>
    </w:p>
    <w:p w14:paraId="54D309D8" w14:textId="77777777" w:rsidR="00F060EB" w:rsidRDefault="00F060EB" w:rsidP="003467EB">
      <w:pPr>
        <w:pStyle w:val="ListParagraph"/>
        <w:numPr>
          <w:ilvl w:val="2"/>
          <w:numId w:val="12"/>
        </w:numPr>
        <w:spacing w:before="40"/>
        <w:ind w:left="1219" w:hanging="357"/>
      </w:pPr>
      <w:r>
        <w:t>General Nutrients, Food Supplements, Vitamin Supplements</w:t>
      </w:r>
    </w:p>
    <w:p w14:paraId="3F2D7969" w14:textId="77777777" w:rsidR="00F060EB" w:rsidRDefault="00F060EB" w:rsidP="003467EB">
      <w:pPr>
        <w:pStyle w:val="ListParagraph"/>
        <w:numPr>
          <w:ilvl w:val="2"/>
          <w:numId w:val="12"/>
        </w:numPr>
        <w:spacing w:before="40"/>
        <w:ind w:left="1219" w:hanging="357"/>
      </w:pPr>
      <w:r>
        <w:t>Other Non-</w:t>
      </w:r>
      <w:r w:rsidR="000C13C3">
        <w:t>Therapeutic</w:t>
      </w:r>
      <w:r>
        <w:t xml:space="preserve"> Products</w:t>
      </w:r>
    </w:p>
    <w:p w14:paraId="4E979818" w14:textId="77777777" w:rsidR="00F060EB" w:rsidRDefault="00F060EB" w:rsidP="003467EB">
      <w:pPr>
        <w:pStyle w:val="ListParagraph"/>
        <w:numPr>
          <w:ilvl w:val="2"/>
          <w:numId w:val="12"/>
        </w:numPr>
        <w:spacing w:before="40"/>
        <w:ind w:left="1219" w:hanging="357"/>
      </w:pPr>
      <w:r>
        <w:t>Wound Assessment and Dressing Section</w:t>
      </w:r>
    </w:p>
    <w:p w14:paraId="28B2C097" w14:textId="675ECB11" w:rsidR="00B83E3F" w:rsidRDefault="00B83E3F" w:rsidP="002C41C7">
      <w:pPr>
        <w:pStyle w:val="ListParagraph"/>
      </w:pPr>
      <w:r>
        <w:t>Computer generated paper based National</w:t>
      </w:r>
      <w:r w:rsidR="003F0390">
        <w:t xml:space="preserve"> Residential Medication Charts.</w:t>
      </w:r>
    </w:p>
    <w:p w14:paraId="6C931B99" w14:textId="5344AA23" w:rsidR="00B83E3F" w:rsidRDefault="00B83E3F" w:rsidP="002C41C7">
      <w:pPr>
        <w:pStyle w:val="ListParagraph"/>
      </w:pPr>
      <w:r>
        <w:t>Prescriptions generated by a prescriber through a free text function</w:t>
      </w:r>
      <w:r w:rsidR="00C94B89">
        <w:t xml:space="preserve"> </w:t>
      </w:r>
      <w:r>
        <w:t>within prescribing software</w:t>
      </w:r>
      <w:r w:rsidR="0096403A">
        <w:t xml:space="preserve"> as detailed in paragraph </w:t>
      </w:r>
      <w:r w:rsidR="0096403A">
        <w:fldChar w:fldCharType="begin"/>
      </w:r>
      <w:r w:rsidR="0096403A">
        <w:instrText xml:space="preserve"> REF _Ref31206015 \r \h </w:instrText>
      </w:r>
      <w:r w:rsidR="0096403A">
        <w:fldChar w:fldCharType="separate"/>
      </w:r>
      <w:r w:rsidR="005B1F80">
        <w:t>6.1</w:t>
      </w:r>
      <w:r w:rsidR="0096403A">
        <w:fldChar w:fldCharType="end"/>
      </w:r>
      <w:r w:rsidR="0096403A">
        <w:t>.</w:t>
      </w:r>
    </w:p>
    <w:p w14:paraId="6296A601" w14:textId="77777777" w:rsidR="00636895" w:rsidRDefault="00356AEB" w:rsidP="00636895">
      <w:pPr>
        <w:pStyle w:val="ListParagraph"/>
        <w:rPr>
          <w:w w:val="105"/>
        </w:rPr>
      </w:pPr>
      <w:bookmarkStart w:id="75" w:name="_Hlk23414276"/>
      <w:r>
        <w:rPr>
          <w:w w:val="105"/>
        </w:rPr>
        <w:t>T</w:t>
      </w:r>
      <w:r w:rsidRPr="002E77FD">
        <w:rPr>
          <w:w w:val="105"/>
        </w:rPr>
        <w:t>hese requirements do not apply where it would contravene State or Territory legislation</w:t>
      </w:r>
      <w:r w:rsidR="00636895" w:rsidRPr="002E77FD">
        <w:rPr>
          <w:w w:val="105"/>
        </w:rPr>
        <w:t>.</w:t>
      </w:r>
    </w:p>
    <w:p w14:paraId="486B6415" w14:textId="77777777" w:rsidR="00191282" w:rsidRDefault="00191282" w:rsidP="00191282">
      <w:pPr>
        <w:pStyle w:val="Heading2"/>
        <w:rPr>
          <w:w w:val="105"/>
        </w:rPr>
      </w:pPr>
      <w:bookmarkStart w:id="76" w:name="_Ref31206015"/>
      <w:bookmarkStart w:id="77" w:name="_Toc57702494"/>
      <w:bookmarkEnd w:id="75"/>
      <w:r>
        <w:rPr>
          <w:w w:val="105"/>
        </w:rPr>
        <w:t>Free Text Function</w:t>
      </w:r>
      <w:bookmarkEnd w:id="76"/>
      <w:bookmarkEnd w:id="77"/>
    </w:p>
    <w:p w14:paraId="5AEB4CCC" w14:textId="77777777" w:rsidR="00191282" w:rsidRDefault="0096403A" w:rsidP="00191282">
      <w:r>
        <w:t>P</w:t>
      </w:r>
      <w:r w:rsidR="00191282">
        <w:t xml:space="preserve">rescribing systems </w:t>
      </w:r>
      <w:r>
        <w:t xml:space="preserve">may </w:t>
      </w:r>
      <w:r w:rsidR="00191282">
        <w:t xml:space="preserve">include a free text facility </w:t>
      </w:r>
      <w:r w:rsidR="00D5484F">
        <w:t xml:space="preserve">(refer to </w:t>
      </w:r>
      <w:r w:rsidR="00D5484F" w:rsidRPr="002266EB">
        <w:t xml:space="preserve">Glossary </w:t>
      </w:r>
      <w:r w:rsidR="00D5484F">
        <w:t>and</w:t>
      </w:r>
      <w:r w:rsidR="00D5484F" w:rsidRPr="002266EB">
        <w:t xml:space="preserve"> Abbreviations</w:t>
      </w:r>
      <w:r w:rsidR="00D5484F">
        <w:t xml:space="preserve">) to </w:t>
      </w:r>
      <w:r w:rsidR="00191282">
        <w:t xml:space="preserve">type the drug details for the prescription </w:t>
      </w:r>
      <w:r w:rsidR="00191282" w:rsidRPr="0026788E">
        <w:rPr>
          <w:u w:val="single"/>
        </w:rPr>
        <w:t>without reference</w:t>
      </w:r>
      <w:r w:rsidR="00191282">
        <w:t xml:space="preserve"> to a drug lookup via the drug data base or </w:t>
      </w:r>
      <w:r>
        <w:t xml:space="preserve">drug </w:t>
      </w:r>
      <w:r w:rsidR="00191282">
        <w:t>master file.</w:t>
      </w:r>
    </w:p>
    <w:p w14:paraId="0FEE1FC7" w14:textId="77777777" w:rsidR="00191282" w:rsidRDefault="00191282" w:rsidP="00191282">
      <w:r>
        <w:t>Some systems also support a facility whereby such details may be stored in the prescriber</w:t>
      </w:r>
      <w:r w:rsidR="0096403A">
        <w:t>'</w:t>
      </w:r>
      <w:r>
        <w:t>s private non-vendor supported data base.</w:t>
      </w:r>
    </w:p>
    <w:p w14:paraId="3D45DDD3" w14:textId="62EE44EC" w:rsidR="00E32AD3" w:rsidRDefault="00E32AD3" w:rsidP="00E32AD3">
      <w:r>
        <w:t xml:space="preserve">Where these </w:t>
      </w:r>
      <w:r w:rsidR="007A54F2">
        <w:t xml:space="preserve">facilities </w:t>
      </w:r>
      <w:r>
        <w:t xml:space="preserve">are used to unambiguously identify the prescriber's intention, the software shall include an indicator such as </w:t>
      </w:r>
      <w:r w:rsidRPr="005A607B">
        <w:rPr>
          <w:i/>
          <w:iCs/>
        </w:rPr>
        <w:t>"(free text)</w:t>
      </w:r>
      <w:r>
        <w:t xml:space="preserve">" </w:t>
      </w:r>
      <w:r w:rsidR="007A54F2">
        <w:t xml:space="preserve">to allow </w:t>
      </w:r>
      <w:r>
        <w:t>the prescription</w:t>
      </w:r>
      <w:r w:rsidR="007A54F2">
        <w:t xml:space="preserve"> to</w:t>
      </w:r>
      <w:r>
        <w:t xml:space="preserve"> be differentiated from a conventional computer generated prescription to ensure that </w:t>
      </w:r>
      <w:r w:rsidR="007A54F2">
        <w:t xml:space="preserve">compliance </w:t>
      </w:r>
      <w:r>
        <w:t>with PBS regulations is evident.</w:t>
      </w:r>
    </w:p>
    <w:p w14:paraId="3C5BBAE6" w14:textId="07C09B0C" w:rsidR="00191282" w:rsidRPr="0026788E" w:rsidRDefault="00191282" w:rsidP="001007C5">
      <w:pPr>
        <w:tabs>
          <w:tab w:val="left" w:pos="5387"/>
        </w:tabs>
      </w:pPr>
      <w:r>
        <w:t xml:space="preserve">Example:  </w:t>
      </w:r>
      <w:r>
        <w:rPr>
          <w:rFonts w:eastAsia="Times New Roman" w:cstheme="minorHAnsi"/>
          <w:b/>
          <w:bCs/>
          <w:color w:val="000000"/>
          <w:sz w:val="20"/>
          <w:lang w:eastAsia="en-AU"/>
        </w:rPr>
        <w:t xml:space="preserve">Lipitor tabs </w:t>
      </w:r>
      <w:r w:rsidRPr="0059154E">
        <w:rPr>
          <w:rFonts w:eastAsia="Times New Roman" w:cstheme="minorHAnsi"/>
          <w:b/>
          <w:bCs/>
          <w:color w:val="000000"/>
          <w:sz w:val="20"/>
          <w:lang w:eastAsia="en-AU"/>
        </w:rPr>
        <w:t>10 mg</w:t>
      </w:r>
      <w:r>
        <w:rPr>
          <w:rFonts w:eastAsia="Times New Roman" w:cstheme="minorHAnsi"/>
          <w:b/>
          <w:bCs/>
          <w:color w:val="000000"/>
          <w:sz w:val="20"/>
          <w:lang w:eastAsia="en-AU"/>
        </w:rPr>
        <w:t>; Qty:30</w:t>
      </w:r>
      <w:r w:rsidR="001007C5">
        <w:rPr>
          <w:rFonts w:eastAsia="Times New Roman" w:cstheme="minorHAnsi"/>
          <w:b/>
          <w:bCs/>
          <w:color w:val="000000"/>
          <w:sz w:val="20"/>
          <w:lang w:eastAsia="en-AU"/>
        </w:rPr>
        <w:tab/>
      </w:r>
      <w:r w:rsidRPr="005B1F80">
        <w:rPr>
          <w:rFonts w:eastAsia="Times New Roman" w:cstheme="minorHAnsi"/>
          <w:b/>
          <w:bCs/>
          <w:color w:val="000000"/>
          <w:sz w:val="20"/>
          <w:lang w:eastAsia="en-AU"/>
        </w:rPr>
        <w:t>(</w:t>
      </w:r>
      <w:r w:rsidRPr="005B1F80">
        <w:rPr>
          <w:rFonts w:eastAsia="Times New Roman" w:cstheme="minorHAnsi"/>
          <w:b/>
          <w:bCs/>
          <w:i/>
          <w:iCs/>
          <w:color w:val="000000"/>
          <w:sz w:val="20"/>
          <w:lang w:eastAsia="en-AU"/>
        </w:rPr>
        <w:t>free text</w:t>
      </w:r>
      <w:r w:rsidRPr="005B1F80">
        <w:rPr>
          <w:rFonts w:eastAsia="Times New Roman" w:cstheme="minorHAnsi"/>
          <w:b/>
          <w:bCs/>
          <w:color w:val="000000"/>
          <w:sz w:val="20"/>
          <w:lang w:eastAsia="en-AU"/>
        </w:rPr>
        <w:t>)</w:t>
      </w:r>
    </w:p>
    <w:p w14:paraId="261DDBD4" w14:textId="77777777" w:rsidR="00C51785" w:rsidRDefault="00C51785" w:rsidP="00C51785">
      <w:pPr>
        <w:pStyle w:val="Heading2"/>
        <w:rPr>
          <w:w w:val="105"/>
        </w:rPr>
      </w:pPr>
      <w:bookmarkStart w:id="78" w:name="_Toc57702495"/>
      <w:r>
        <w:rPr>
          <w:w w:val="105"/>
        </w:rPr>
        <w:lastRenderedPageBreak/>
        <w:t>Re-Prescribe or Duplicate Script Functions</w:t>
      </w:r>
      <w:bookmarkEnd w:id="78"/>
    </w:p>
    <w:p w14:paraId="6287186C" w14:textId="52B66346" w:rsidR="00C51785" w:rsidRDefault="00C51785" w:rsidP="00C51785">
      <w:r>
        <w:t>This is another common facility provided by some prescribing software systems, whereby the prescriber accesses the patient history and</w:t>
      </w:r>
      <w:r w:rsidR="00E40AF7">
        <w:t xml:space="preserve"> selects</w:t>
      </w:r>
      <w:r>
        <w:t xml:space="preserve"> a script in the history </w:t>
      </w:r>
      <w:r w:rsidR="00E40AF7">
        <w:t xml:space="preserve">to </w:t>
      </w:r>
      <w:r>
        <w:t>create a new prescription</w:t>
      </w:r>
      <w:r w:rsidR="003F0390">
        <w:t xml:space="preserve"> identical to the one selected.</w:t>
      </w:r>
    </w:p>
    <w:p w14:paraId="73C0E137" w14:textId="77777777" w:rsidR="00C51785" w:rsidRPr="00D15244" w:rsidRDefault="00C51785" w:rsidP="00C51785">
      <w:r>
        <w:t>It is important to ensure that the re-prescribed item must follow the current AIP rules and not the rules as saved when previously prescribed.</w:t>
      </w:r>
    </w:p>
    <w:p w14:paraId="498CF018" w14:textId="71C31BC4" w:rsidR="002B5C25" w:rsidRDefault="006B3821" w:rsidP="002B5C25">
      <w:pPr>
        <w:pStyle w:val="Heading2"/>
        <w:rPr>
          <w:w w:val="105"/>
        </w:rPr>
      </w:pPr>
      <w:bookmarkStart w:id="79" w:name="_Toc57702496"/>
      <w:r w:rsidRPr="00DE1DF3">
        <w:rPr>
          <w:w w:val="105"/>
        </w:rPr>
        <w:t xml:space="preserve">Other </w:t>
      </w:r>
      <w:r w:rsidR="003E71EC" w:rsidRPr="00DE1DF3">
        <w:rPr>
          <w:w w:val="105"/>
        </w:rPr>
        <w:t>p</w:t>
      </w:r>
      <w:r w:rsidRPr="00DE1DF3">
        <w:rPr>
          <w:w w:val="105"/>
        </w:rPr>
        <w:t xml:space="preserve">rescribing </w:t>
      </w:r>
      <w:r w:rsidR="003E71EC" w:rsidRPr="00DE1DF3">
        <w:rPr>
          <w:w w:val="105"/>
        </w:rPr>
        <w:t>s</w:t>
      </w:r>
      <w:r w:rsidRPr="00DE1DF3">
        <w:rPr>
          <w:w w:val="105"/>
        </w:rPr>
        <w:t xml:space="preserve">ituations where </w:t>
      </w:r>
      <w:r w:rsidR="00DE1DF3">
        <w:rPr>
          <w:w w:val="105"/>
        </w:rPr>
        <w:t>the inclusion of active i</w:t>
      </w:r>
      <w:r w:rsidR="00DE1DF3" w:rsidRPr="00DE1DF3">
        <w:rPr>
          <w:w w:val="105"/>
        </w:rPr>
        <w:t>ngredient</w:t>
      </w:r>
      <w:r w:rsidR="00DE1DF3">
        <w:rPr>
          <w:w w:val="105"/>
        </w:rPr>
        <w:t>s</w:t>
      </w:r>
      <w:r w:rsidR="00DE1DF3" w:rsidRPr="00DE1DF3">
        <w:rPr>
          <w:w w:val="105"/>
        </w:rPr>
        <w:t xml:space="preserve"> is recommended but not </w:t>
      </w:r>
      <w:r w:rsidR="00DE1DF3">
        <w:rPr>
          <w:w w:val="105"/>
        </w:rPr>
        <w:t>mandatory</w:t>
      </w:r>
      <w:bookmarkEnd w:id="79"/>
    </w:p>
    <w:p w14:paraId="3EE39EF6" w14:textId="77777777" w:rsidR="005E1BDB" w:rsidRDefault="00EA03F5" w:rsidP="002B5C25">
      <w:pPr>
        <w:rPr>
          <w:w w:val="105"/>
        </w:rPr>
      </w:pPr>
      <w:r>
        <w:t>Prescribers are encouraged to include the active ingredients but the inclusion is not mandated under the following situations</w:t>
      </w:r>
      <w:r w:rsidR="00DE1DF3">
        <w:t>:</w:t>
      </w:r>
      <w:r w:rsidR="005E1BDB">
        <w:rPr>
          <w:rStyle w:val="FootnoteReference"/>
        </w:rPr>
        <w:footnoteReference w:id="11"/>
      </w:r>
    </w:p>
    <w:p w14:paraId="3D561FD4" w14:textId="77777777" w:rsidR="00EA03F5" w:rsidRDefault="00EA03F5" w:rsidP="00EA03F5">
      <w:pPr>
        <w:pStyle w:val="ListParagraph"/>
        <w:rPr>
          <w:w w:val="105"/>
        </w:rPr>
      </w:pPr>
      <w:r>
        <w:rPr>
          <w:w w:val="105"/>
        </w:rPr>
        <w:t>P</w:t>
      </w:r>
      <w:r w:rsidRPr="00BB77D8">
        <w:rPr>
          <w:w w:val="105"/>
        </w:rPr>
        <w:t>roducts that have not been approved by TGA for use in Australia</w:t>
      </w:r>
      <w:r>
        <w:rPr>
          <w:rStyle w:val="FootnoteReference"/>
          <w:w w:val="105"/>
        </w:rPr>
        <w:footnoteReference w:id="12"/>
      </w:r>
      <w:r>
        <w:rPr>
          <w:w w:val="105"/>
        </w:rPr>
        <w:t xml:space="preserve"> including those accessed via:</w:t>
      </w:r>
    </w:p>
    <w:p w14:paraId="2C0FE767" w14:textId="77777777" w:rsidR="00BB77D8" w:rsidRPr="00BB77D8" w:rsidRDefault="006E1639" w:rsidP="0050223B">
      <w:pPr>
        <w:pStyle w:val="ListParagraph"/>
        <w:numPr>
          <w:ilvl w:val="0"/>
          <w:numId w:val="15"/>
        </w:numPr>
        <w:spacing w:before="60"/>
        <w:ind w:hanging="357"/>
        <w:rPr>
          <w:w w:val="105"/>
        </w:rPr>
      </w:pPr>
      <w:r>
        <w:rPr>
          <w:w w:val="105"/>
        </w:rPr>
        <w:t>T</w:t>
      </w:r>
      <w:r w:rsidR="00BB77D8">
        <w:rPr>
          <w:w w:val="105"/>
        </w:rPr>
        <w:t xml:space="preserve">he </w:t>
      </w:r>
      <w:r w:rsidR="00BB77D8">
        <w:t>Special Access Scheme</w:t>
      </w:r>
      <w:r w:rsidR="00BB77D8">
        <w:rPr>
          <w:rStyle w:val="FootnoteReference"/>
        </w:rPr>
        <w:footnoteReference w:id="13"/>
      </w:r>
    </w:p>
    <w:p w14:paraId="792D16A8" w14:textId="77777777" w:rsidR="00EA03F5" w:rsidRPr="00BB77D8" w:rsidRDefault="00EA03F5" w:rsidP="0050223B">
      <w:pPr>
        <w:pStyle w:val="ListParagraph"/>
        <w:numPr>
          <w:ilvl w:val="0"/>
          <w:numId w:val="15"/>
        </w:numPr>
        <w:spacing w:before="60"/>
        <w:ind w:hanging="357"/>
        <w:rPr>
          <w:w w:val="105"/>
        </w:rPr>
      </w:pPr>
      <w:r>
        <w:rPr>
          <w:rStyle w:val="description"/>
        </w:rPr>
        <w:t>Medicinal cannabis products schemes</w:t>
      </w:r>
      <w:r>
        <w:rPr>
          <w:rStyle w:val="FootnoteReference"/>
        </w:rPr>
        <w:footnoteReference w:id="14"/>
      </w:r>
    </w:p>
    <w:p w14:paraId="51CB2CBB" w14:textId="77777777" w:rsidR="00EA03F5" w:rsidRDefault="00EA03F5" w:rsidP="0050223B">
      <w:pPr>
        <w:pStyle w:val="ListParagraph"/>
        <w:numPr>
          <w:ilvl w:val="0"/>
          <w:numId w:val="15"/>
        </w:numPr>
        <w:spacing w:before="60"/>
        <w:ind w:hanging="357"/>
        <w:rPr>
          <w:w w:val="105"/>
        </w:rPr>
      </w:pPr>
      <w:r>
        <w:rPr>
          <w:w w:val="105"/>
        </w:rPr>
        <w:t>Clinical Trials</w:t>
      </w:r>
    </w:p>
    <w:p w14:paraId="7A7FEBF4" w14:textId="77777777" w:rsidR="00EA03F5" w:rsidRDefault="00EA03F5" w:rsidP="0050223B">
      <w:pPr>
        <w:pStyle w:val="ListParagraph"/>
        <w:numPr>
          <w:ilvl w:val="0"/>
          <w:numId w:val="15"/>
        </w:numPr>
        <w:spacing w:before="60"/>
        <w:ind w:hanging="357"/>
        <w:rPr>
          <w:w w:val="105"/>
        </w:rPr>
      </w:pPr>
      <w:r>
        <w:rPr>
          <w:w w:val="105"/>
        </w:rPr>
        <w:t>Medicines accessed during a shortage</w:t>
      </w:r>
    </w:p>
    <w:p w14:paraId="188BF0AB" w14:textId="77777777" w:rsidR="00B41CCE" w:rsidRDefault="00B41CCE" w:rsidP="00B41CCE">
      <w:pPr>
        <w:pStyle w:val="Heading1"/>
      </w:pPr>
      <w:bookmarkStart w:id="80" w:name="_Toc57702497"/>
      <w:r>
        <w:t>Guidelines on Recording Prescriptions</w:t>
      </w:r>
      <w:bookmarkEnd w:id="80"/>
    </w:p>
    <w:p w14:paraId="4B9CA1DE" w14:textId="77777777" w:rsidR="00B41CCE" w:rsidRDefault="00B41CCE" w:rsidP="00B41CCE">
      <w:r>
        <w:t>This section acknowledges the requirements for prescribers to keep accurate medical records.</w:t>
      </w:r>
    </w:p>
    <w:p w14:paraId="52FAA201" w14:textId="31536A17" w:rsidR="00B41CCE" w:rsidRDefault="00B41CCE" w:rsidP="00B41CCE">
      <w:r>
        <w:t>These records need to accurately record medical events and information, includ</w:t>
      </w:r>
      <w:r w:rsidR="00083524">
        <w:t>ing</w:t>
      </w:r>
      <w:r>
        <w:t xml:space="preserve"> prescriptions, and therefore must reflect actual</w:t>
      </w:r>
      <w:r w:rsidR="00083524">
        <w:t xml:space="preserve"> </w:t>
      </w:r>
      <w:r>
        <w:t xml:space="preserve">prescriptions generated </w:t>
      </w:r>
      <w:r w:rsidR="00083524">
        <w:t xml:space="preserve">and provided to </w:t>
      </w:r>
      <w:r>
        <w:t>patients</w:t>
      </w:r>
      <w:r w:rsidR="00083524">
        <w:t>. This includes active ingredie</w:t>
      </w:r>
      <w:r w:rsidR="003F0390">
        <w:t>nts and brands where specified.</w:t>
      </w:r>
    </w:p>
    <w:p w14:paraId="7425F0D4" w14:textId="77777777" w:rsidR="00B41CCE" w:rsidRDefault="00B41CCE" w:rsidP="00B41CCE">
      <w:r>
        <w:t>The</w:t>
      </w:r>
      <w:r w:rsidR="00083524">
        <w:t xml:space="preserve"> requirement for</w:t>
      </w:r>
      <w:r w:rsidR="000A29FE">
        <w:t xml:space="preserve"> </w:t>
      </w:r>
      <w:r w:rsidR="00083524">
        <w:t>accurate patient medical records is governed by state and territory legislation. Additionall</w:t>
      </w:r>
      <w:r w:rsidR="00736EBB">
        <w:t>y</w:t>
      </w:r>
      <w:r w:rsidR="00083524">
        <w:t>, the A</w:t>
      </w:r>
      <w:r>
        <w:t xml:space="preserve"> Medical Board</w:t>
      </w:r>
      <w:r w:rsidR="00A0211B">
        <w:t xml:space="preserve"> of Australia’s </w:t>
      </w:r>
      <w:r w:rsidR="004E0022" w:rsidRPr="001574F5">
        <w:rPr>
          <w:i/>
        </w:rPr>
        <w:t>Good Medical Practice: A Code of Conduct for Doctors in Australia</w:t>
      </w:r>
      <w:r w:rsidR="00A0211B">
        <w:rPr>
          <w:rStyle w:val="FootnoteReference"/>
          <w:i/>
        </w:rPr>
        <w:footnoteReference w:id="15"/>
      </w:r>
      <w:r w:rsidR="004E0022" w:rsidRPr="004E0022">
        <w:t xml:space="preserve"> (the Code) provides specific guidance regarding making, storing and accessing medical records.</w:t>
      </w:r>
    </w:p>
    <w:p w14:paraId="6E94E781" w14:textId="2F55305D" w:rsidR="00B41CCE" w:rsidRDefault="00B41CCE" w:rsidP="00B41CCE">
      <w:r>
        <w:t>The Department expects vendors</w:t>
      </w:r>
      <w:r w:rsidR="000A29FE">
        <w:t>’</w:t>
      </w:r>
      <w:r>
        <w:t xml:space="preserve"> </w:t>
      </w:r>
      <w:r w:rsidR="000A29FE">
        <w:t xml:space="preserve">products </w:t>
      </w:r>
      <w:r w:rsidR="00AF434B">
        <w:t xml:space="preserve">to </w:t>
      </w:r>
      <w:r w:rsidR="000A29FE">
        <w:t xml:space="preserve">assist </w:t>
      </w:r>
      <w:r>
        <w:t xml:space="preserve">prescribers </w:t>
      </w:r>
      <w:r w:rsidR="000A29FE">
        <w:t>in</w:t>
      </w:r>
      <w:r>
        <w:t xml:space="preserve"> meet</w:t>
      </w:r>
      <w:r w:rsidR="000A29FE">
        <w:t>ing</w:t>
      </w:r>
      <w:r>
        <w:t xml:space="preserve"> their obligations under these laws and guideline</w:t>
      </w:r>
      <w:r w:rsidR="00083524">
        <w:t xml:space="preserve">s, and </w:t>
      </w:r>
      <w:r w:rsidR="00AF434B">
        <w:t xml:space="preserve">to ensure </w:t>
      </w:r>
      <w:r w:rsidR="00083524">
        <w:t>accurate records of</w:t>
      </w:r>
      <w:r w:rsidR="000A29FE">
        <w:t xml:space="preserve"> </w:t>
      </w:r>
      <w:r w:rsidR="00083524">
        <w:t>prescription</w:t>
      </w:r>
      <w:r w:rsidR="000A29FE">
        <w:t>s</w:t>
      </w:r>
      <w:r w:rsidR="00083524">
        <w:t xml:space="preserve"> provided</w:t>
      </w:r>
      <w:r w:rsidR="000A29FE">
        <w:t xml:space="preserve"> to patients are</w:t>
      </w:r>
      <w:r w:rsidR="00083524">
        <w:t xml:space="preserve"> stor</w:t>
      </w:r>
      <w:r w:rsidR="003F0390">
        <w:t>ed within prescribing software.</w:t>
      </w:r>
    </w:p>
    <w:p w14:paraId="61822EAE" w14:textId="77777777" w:rsidR="00C81996" w:rsidRPr="00C81996" w:rsidRDefault="00C81996" w:rsidP="00C81996"/>
    <w:p w14:paraId="5A45BBED" w14:textId="77777777" w:rsidR="007656C3" w:rsidRDefault="007656C3" w:rsidP="00C81996">
      <w:pPr>
        <w:pStyle w:val="Heading2"/>
        <w:rPr>
          <w:w w:val="105"/>
        </w:rPr>
      </w:pPr>
      <w:bookmarkStart w:id="81" w:name="_Ref33025604"/>
      <w:bookmarkStart w:id="82" w:name="_Toc57702498"/>
      <w:r>
        <w:rPr>
          <w:w w:val="105"/>
        </w:rPr>
        <w:lastRenderedPageBreak/>
        <w:t>Uploaded and Electronic Prescriptions</w:t>
      </w:r>
      <w:bookmarkEnd w:id="81"/>
      <w:bookmarkEnd w:id="82"/>
    </w:p>
    <w:p w14:paraId="40475075" w14:textId="7E393654" w:rsidR="007656C3" w:rsidRDefault="007656C3" w:rsidP="007656C3">
      <w:r>
        <w:t>Where a healthcare provider uses conformant clinical software to either create an electronic prescription or upload</w:t>
      </w:r>
      <w:r w:rsidR="00F06256">
        <w:t>s</w:t>
      </w:r>
      <w:r>
        <w:t xml:space="preserve"> a copy of the prescription via ETP to a prescription exchange service, the electronic content must accurately record the prescriber's intention</w:t>
      </w:r>
      <w:r w:rsidR="00954B49">
        <w:t>.</w:t>
      </w:r>
    </w:p>
    <w:p w14:paraId="0AE67EC9" w14:textId="0315697C" w:rsidR="007656C3" w:rsidRDefault="003F0390" w:rsidP="007656C3">
      <w:r>
        <w:t>It follows that:</w:t>
      </w:r>
    </w:p>
    <w:p w14:paraId="479A962C" w14:textId="77777777" w:rsidR="007656C3" w:rsidRDefault="007656C3" w:rsidP="00886BFD">
      <w:pPr>
        <w:pStyle w:val="ListParagraph"/>
        <w:numPr>
          <w:ilvl w:val="0"/>
          <w:numId w:val="17"/>
        </w:numPr>
        <w:ind w:left="714" w:hanging="357"/>
      </w:pPr>
      <w:r>
        <w:t xml:space="preserve">If the prescription nominated the drug to be dispensed by the active ingredient(s) only, then the active ingredients </w:t>
      </w:r>
      <w:r w:rsidRPr="007656C3">
        <w:rPr>
          <w:u w:val="single"/>
        </w:rPr>
        <w:t>only</w:t>
      </w:r>
      <w:r>
        <w:t xml:space="preserve"> would be recorded in the electronic content.</w:t>
      </w:r>
    </w:p>
    <w:p w14:paraId="107FF5D2" w14:textId="77777777" w:rsidR="007656C3" w:rsidRDefault="007656C3" w:rsidP="00886BFD">
      <w:pPr>
        <w:pStyle w:val="ListParagraph"/>
        <w:numPr>
          <w:ilvl w:val="0"/>
          <w:numId w:val="17"/>
        </w:numPr>
        <w:ind w:left="714" w:hanging="357"/>
      </w:pPr>
      <w:r>
        <w:t>If the prescription included the active ingredient</w:t>
      </w:r>
      <w:r w:rsidR="00886BFD">
        <w:t>(</w:t>
      </w:r>
      <w:r>
        <w:t>s</w:t>
      </w:r>
      <w:r w:rsidR="00886BFD">
        <w:t>)</w:t>
      </w:r>
      <w:r>
        <w:t xml:space="preserve"> followed by a nominated brand, then both the active ingredient</w:t>
      </w:r>
      <w:r w:rsidR="00886BFD">
        <w:t>(</w:t>
      </w:r>
      <w:r>
        <w:t>s</w:t>
      </w:r>
      <w:r w:rsidR="00886BFD">
        <w:t>)</w:t>
      </w:r>
      <w:r>
        <w:t xml:space="preserve"> and the brand would be recorded in the electronic content.</w:t>
      </w:r>
    </w:p>
    <w:p w14:paraId="180638FB" w14:textId="6A4ED0D9" w:rsidR="007656C3" w:rsidRDefault="007656C3" w:rsidP="00886BFD">
      <w:pPr>
        <w:pStyle w:val="ListParagraph"/>
        <w:numPr>
          <w:ilvl w:val="0"/>
          <w:numId w:val="17"/>
        </w:numPr>
        <w:ind w:left="714" w:hanging="357"/>
      </w:pPr>
      <w:r>
        <w:t xml:space="preserve">If </w:t>
      </w:r>
      <w:r w:rsidR="00886BFD">
        <w:t>the</w:t>
      </w:r>
      <w:r>
        <w:t xml:space="preserve"> brand only was used to indicate the drug to be dispensed, then only the brand would be recorded in the electronic content.</w:t>
      </w:r>
    </w:p>
    <w:p w14:paraId="6CAEFC9B" w14:textId="776344F7" w:rsidR="00954B49" w:rsidRPr="00CA60E2" w:rsidRDefault="006A43E6" w:rsidP="00954B49">
      <w:r>
        <w:t xml:space="preserve">There are no </w:t>
      </w:r>
      <w:r w:rsidR="00A622A9">
        <w:t>additional</w:t>
      </w:r>
      <w:r>
        <w:t xml:space="preserve"> requirements for electronic prescriptions relating specifically to AIP. </w:t>
      </w:r>
      <w:r w:rsidR="00954B49">
        <w:t xml:space="preserve">The Electronic Prescribing Solution Architecture </w:t>
      </w:r>
      <w:r w:rsidR="00F06256">
        <w:t xml:space="preserve">and the Electronic Prescribing Participating Software Conformance Profile </w:t>
      </w:r>
      <w:r w:rsidR="00954B49">
        <w:t>published by the ADHA</w:t>
      </w:r>
      <w:r w:rsidR="00F06256">
        <w:rPr>
          <w:rStyle w:val="FootnoteReference"/>
        </w:rPr>
        <w:footnoteReference w:id="16"/>
      </w:r>
      <w:r w:rsidR="00954B49">
        <w:t xml:space="preserve"> details the </w:t>
      </w:r>
      <w:r>
        <w:t>p</w:t>
      </w:r>
      <w:r w:rsidR="00954B49">
        <w:t xml:space="preserve">rescription </w:t>
      </w:r>
      <w:r>
        <w:t>o</w:t>
      </w:r>
      <w:r w:rsidR="00954B49">
        <w:t xml:space="preserve">rder </w:t>
      </w:r>
      <w:r>
        <w:t>i</w:t>
      </w:r>
      <w:r w:rsidR="00954B49">
        <w:t>tems</w:t>
      </w:r>
      <w:r w:rsidR="00F06256">
        <w:t xml:space="preserve"> including the "</w:t>
      </w:r>
      <w:r w:rsidR="00F06256" w:rsidRPr="006A43E6">
        <w:rPr>
          <w:i/>
          <w:iCs/>
        </w:rPr>
        <w:t>original text as presented</w:t>
      </w:r>
      <w:r w:rsidR="00F06256">
        <w:t>"</w:t>
      </w:r>
      <w:r w:rsidR="00954B49">
        <w:t xml:space="preserve">, the contents of which </w:t>
      </w:r>
      <w:r w:rsidR="00864E2D">
        <w:t xml:space="preserve">should </w:t>
      </w:r>
      <w:r>
        <w:t xml:space="preserve">be </w:t>
      </w:r>
      <w:r w:rsidR="00864E2D">
        <w:t>consistent with the above requirements.</w:t>
      </w:r>
    </w:p>
    <w:p w14:paraId="41C4B7CC" w14:textId="77777777" w:rsidR="002F2DC4" w:rsidRDefault="002D34DD" w:rsidP="002C41C7">
      <w:pPr>
        <w:pStyle w:val="Heading1"/>
      </w:pPr>
      <w:bookmarkStart w:id="83" w:name="_Toc57702499"/>
      <w:r>
        <w:t>References</w:t>
      </w:r>
      <w:r w:rsidR="001A6CA6">
        <w:t xml:space="preserve"> for Ingredient </w:t>
      </w:r>
      <w:r w:rsidR="008E6FAF">
        <w:t xml:space="preserve">Medicinal Product </w:t>
      </w:r>
      <w:r w:rsidR="001A6CA6">
        <w:t>Names</w:t>
      </w:r>
      <w:bookmarkEnd w:id="83"/>
    </w:p>
    <w:p w14:paraId="32CBD2F2" w14:textId="77777777" w:rsidR="001B23F4" w:rsidRDefault="001B23F4" w:rsidP="002C41C7">
      <w:pPr>
        <w:pStyle w:val="Heading2"/>
      </w:pPr>
      <w:bookmarkStart w:id="84" w:name="_Toc57702500"/>
      <w:r>
        <w:t>PharmCIS Electronic PBS</w:t>
      </w:r>
      <w:r w:rsidR="00B41692">
        <w:t>/RPBS</w:t>
      </w:r>
      <w:r>
        <w:t xml:space="preserve"> Data</w:t>
      </w:r>
      <w:bookmarkEnd w:id="84"/>
    </w:p>
    <w:p w14:paraId="50684C7A" w14:textId="77777777" w:rsidR="00717ED0" w:rsidRDefault="001A6CA6" w:rsidP="002C41C7">
      <w:r>
        <w:t>For those vendors who ob</w:t>
      </w:r>
      <w:r w:rsidR="000A476C">
        <w:t>t</w:t>
      </w:r>
      <w:r>
        <w:t xml:space="preserve">ain electronic drug </w:t>
      </w:r>
      <w:r w:rsidR="000A476C">
        <w:t xml:space="preserve">PBS </w:t>
      </w:r>
      <w:r>
        <w:t xml:space="preserve">data </w:t>
      </w:r>
      <w:r w:rsidR="00986BC0">
        <w:t xml:space="preserve">directly </w:t>
      </w:r>
      <w:r>
        <w:t xml:space="preserve">from </w:t>
      </w:r>
      <w:r w:rsidR="000A476C">
        <w:t xml:space="preserve">the </w:t>
      </w:r>
      <w:r w:rsidR="00717ED0">
        <w:t xml:space="preserve">monthly data published in the </w:t>
      </w:r>
      <w:r w:rsidR="000A476C">
        <w:t xml:space="preserve">embargoed </w:t>
      </w:r>
      <w:r w:rsidR="001B23F4">
        <w:t xml:space="preserve">PharmCIS </w:t>
      </w:r>
      <w:r w:rsidR="00986BC0">
        <w:t xml:space="preserve">site </w:t>
      </w:r>
      <w:r w:rsidR="000A476C" w:rsidRPr="001D5F68">
        <w:t>"</w:t>
      </w:r>
      <w:r w:rsidR="000A476C" w:rsidRPr="002C41C7">
        <w:rPr>
          <w:i/>
          <w:iCs/>
        </w:rPr>
        <w:t>Pharmaceutical Benefits Scheme for Software Developers</w:t>
      </w:r>
      <w:r w:rsidR="000A476C" w:rsidRPr="001D5F68">
        <w:t>"</w:t>
      </w:r>
      <w:r w:rsidR="00BC006A" w:rsidRPr="001D5F68">
        <w:rPr>
          <w:vertAlign w:val="superscript"/>
        </w:rPr>
        <w:footnoteReference w:id="17"/>
      </w:r>
      <w:r w:rsidR="00986BC0" w:rsidRPr="001D5F68">
        <w:t>,</w:t>
      </w:r>
      <w:r w:rsidRPr="001D5F68">
        <w:t xml:space="preserve"> </w:t>
      </w:r>
      <w:r w:rsidR="000A476C" w:rsidRPr="001D5F68">
        <w:t>t</w:t>
      </w:r>
      <w:r w:rsidRPr="001D5F68">
        <w:t xml:space="preserve">here are </w:t>
      </w:r>
      <w:r w:rsidR="000A476C" w:rsidRPr="001D5F68">
        <w:t>sev</w:t>
      </w:r>
      <w:r w:rsidR="000A476C">
        <w:t>eral</w:t>
      </w:r>
      <w:r>
        <w:t xml:space="preserve"> sources </w:t>
      </w:r>
      <w:r w:rsidR="004649FB">
        <w:t>of</w:t>
      </w:r>
      <w:r>
        <w:t xml:space="preserve"> </w:t>
      </w:r>
      <w:r w:rsidR="002C41C7">
        <w:t xml:space="preserve">the </w:t>
      </w:r>
      <w:r w:rsidR="000A2690">
        <w:t xml:space="preserve">text </w:t>
      </w:r>
      <w:r w:rsidR="002C41C7">
        <w:t>for</w:t>
      </w:r>
      <w:r w:rsidR="000A2690">
        <w:t xml:space="preserve"> </w:t>
      </w:r>
      <w:r w:rsidR="00D76AD0">
        <w:t xml:space="preserve">active </w:t>
      </w:r>
      <w:r>
        <w:t>ingredient names</w:t>
      </w:r>
      <w:r w:rsidR="000A476C">
        <w:t xml:space="preserve"> </w:t>
      </w:r>
      <w:r w:rsidR="008E6FAF">
        <w:t>including the</w:t>
      </w:r>
      <w:r w:rsidR="000A2690">
        <w:t xml:space="preserve"> AMT </w:t>
      </w:r>
      <w:r w:rsidR="008E6FAF">
        <w:t>MP</w:t>
      </w:r>
      <w:r w:rsidR="000A2690">
        <w:t xml:space="preserve"> "long numeric</w:t>
      </w:r>
      <w:r w:rsidR="008E6FAF">
        <w:t>"</w:t>
      </w:r>
      <w:r w:rsidR="000A2690">
        <w:t xml:space="preserve"> concepts </w:t>
      </w:r>
      <w:r w:rsidR="000A476C">
        <w:t>for PB</w:t>
      </w:r>
      <w:r w:rsidR="00717ED0">
        <w:t>S</w:t>
      </w:r>
      <w:r w:rsidR="000A476C">
        <w:t xml:space="preserve"> medici</w:t>
      </w:r>
      <w:r w:rsidR="00717ED0">
        <w:t>nes</w:t>
      </w:r>
      <w:r w:rsidR="000A2690">
        <w:t xml:space="preserve"> linked via the PBS Item code</w:t>
      </w:r>
      <w:r w:rsidR="00717ED0">
        <w:t>.</w:t>
      </w:r>
    </w:p>
    <w:p w14:paraId="4C4AD7DC" w14:textId="77777777" w:rsidR="00717ED0" w:rsidRDefault="00717ED0" w:rsidP="002D34DD">
      <w:pPr>
        <w:pStyle w:val="ListParagraph"/>
        <w:numPr>
          <w:ilvl w:val="0"/>
          <w:numId w:val="4"/>
        </w:numPr>
        <w:spacing w:before="60"/>
        <w:ind w:hanging="357"/>
      </w:pPr>
      <w:r>
        <w:t>V3 PBS XML</w:t>
      </w:r>
    </w:p>
    <w:p w14:paraId="6E47F035" w14:textId="3A543FF9" w:rsidR="00717ED0" w:rsidRDefault="00717ED0" w:rsidP="002D34DD">
      <w:pPr>
        <w:pStyle w:val="ListParagraph"/>
        <w:numPr>
          <w:ilvl w:val="0"/>
          <w:numId w:val="4"/>
        </w:numPr>
        <w:spacing w:before="60"/>
        <w:ind w:hanging="357"/>
      </w:pPr>
      <w:r>
        <w:t xml:space="preserve">The </w:t>
      </w:r>
      <w:hyperlink r:id="rId22" w:history="1">
        <w:r w:rsidRPr="00717ED0">
          <w:t xml:space="preserve">Down-converted </w:t>
        </w:r>
        <w:r>
          <w:t xml:space="preserve">V2 </w:t>
        </w:r>
        <w:r w:rsidRPr="00717ED0">
          <w:t xml:space="preserve">PBS </w:t>
        </w:r>
        <w:r>
          <w:t>XML</w:t>
        </w:r>
      </w:hyperlink>
    </w:p>
    <w:p w14:paraId="58D70090" w14:textId="4D26FF82" w:rsidR="00717ED0" w:rsidRDefault="000A476C" w:rsidP="002D34DD">
      <w:pPr>
        <w:pStyle w:val="ListParagraph"/>
        <w:numPr>
          <w:ilvl w:val="0"/>
          <w:numId w:val="4"/>
        </w:numPr>
        <w:spacing w:before="60"/>
        <w:ind w:hanging="357"/>
      </w:pPr>
      <w:r>
        <w:t xml:space="preserve">The </w:t>
      </w:r>
      <w:hyperlink r:id="rId23" w:history="1">
        <w:r w:rsidR="00717ED0" w:rsidRPr="00717ED0">
          <w:t>Down-converted PBS TXT Extracts</w:t>
        </w:r>
      </w:hyperlink>
      <w:r w:rsidR="00717ED0">
        <w:t xml:space="preserve"> which and may be conveniently imported into Excel</w:t>
      </w:r>
      <w:r w:rsidR="009626FE">
        <w:t xml:space="preserve"> </w:t>
      </w:r>
      <w:r w:rsidR="002C41C7">
        <w:rPr>
          <w:rStyle w:val="FootnoteReference"/>
        </w:rPr>
        <w:footnoteReference w:id="18"/>
      </w:r>
      <w:r w:rsidR="00717ED0">
        <w:t>:</w:t>
      </w:r>
    </w:p>
    <w:p w14:paraId="4B3D6FF3" w14:textId="77777777" w:rsidR="00717ED0" w:rsidRDefault="000A476C" w:rsidP="002D34DD">
      <w:pPr>
        <w:pStyle w:val="ListParagraph"/>
        <w:numPr>
          <w:ilvl w:val="0"/>
          <w:numId w:val="5"/>
        </w:numPr>
        <w:spacing w:before="60"/>
        <w:ind w:hanging="357"/>
      </w:pPr>
      <w:r>
        <w:t xml:space="preserve">"amt_ccyymm01.txt" and </w:t>
      </w:r>
    </w:p>
    <w:p w14:paraId="0EFC9CBD" w14:textId="09A9C271" w:rsidR="00717ED0" w:rsidRDefault="003F0390" w:rsidP="002D34DD">
      <w:pPr>
        <w:pStyle w:val="ListParagraph"/>
        <w:numPr>
          <w:ilvl w:val="0"/>
          <w:numId w:val="5"/>
        </w:numPr>
        <w:spacing w:before="60"/>
        <w:ind w:hanging="357"/>
      </w:pPr>
      <w:r>
        <w:t>"drug_ccyymm01.txt"</w:t>
      </w:r>
    </w:p>
    <w:p w14:paraId="0C15C1E0" w14:textId="77777777" w:rsidR="007A1295" w:rsidRDefault="001B23F4" w:rsidP="002C41C7">
      <w:pPr>
        <w:pStyle w:val="Heading2"/>
      </w:pPr>
      <w:bookmarkStart w:id="85" w:name="_Ref15975207"/>
      <w:bookmarkStart w:id="86" w:name="_Toc57702501"/>
      <w:r>
        <w:lastRenderedPageBreak/>
        <w:t>The National Clinical Termino</w:t>
      </w:r>
      <w:r w:rsidR="008E6FAF">
        <w:t>l</w:t>
      </w:r>
      <w:r>
        <w:t>og</w:t>
      </w:r>
      <w:r w:rsidR="008E6FAF">
        <w:t>y</w:t>
      </w:r>
      <w:r>
        <w:t xml:space="preserve"> Service (NCTS)</w:t>
      </w:r>
      <w:bookmarkEnd w:id="85"/>
      <w:bookmarkEnd w:id="86"/>
    </w:p>
    <w:p w14:paraId="39BB5F3B" w14:textId="77777777" w:rsidR="000A2690" w:rsidRDefault="000A2690" w:rsidP="002C41C7">
      <w:r>
        <w:t>The AMT is released monthly as part of the SNOMED CT-AU release</w:t>
      </w:r>
      <w:r w:rsidR="008E6FAF">
        <w:t xml:space="preserve">s. </w:t>
      </w:r>
      <w:r w:rsidR="008E6FAF">
        <w:rPr>
          <w:rStyle w:val="FootnoteReference"/>
        </w:rPr>
        <w:footnoteReference w:id="19"/>
      </w:r>
    </w:p>
    <w:p w14:paraId="64411E64" w14:textId="77777777" w:rsidR="008E6FAF" w:rsidRDefault="008E6FAF" w:rsidP="002C41C7">
      <w:r>
        <w:t xml:space="preserve">This </w:t>
      </w:r>
      <w:r w:rsidR="004649FB">
        <w:t xml:space="preserve">NCTS </w:t>
      </w:r>
      <w:r>
        <w:t xml:space="preserve">release includes the medicinal product names referenced </w:t>
      </w:r>
      <w:r w:rsidR="004649FB">
        <w:t>by the</w:t>
      </w:r>
      <w:r>
        <w:t xml:space="preserve"> </w:t>
      </w:r>
      <w:r w:rsidR="004649FB">
        <w:br/>
      </w:r>
      <w:r>
        <w:t>AMT</w:t>
      </w:r>
      <w:r w:rsidR="004649FB">
        <w:t> </w:t>
      </w:r>
      <w:r>
        <w:t xml:space="preserve">MP concepts for all prescribable Australian </w:t>
      </w:r>
      <w:r w:rsidR="00385737">
        <w:t xml:space="preserve">PBS and non-PBS </w:t>
      </w:r>
      <w:r>
        <w:t>drugs.</w:t>
      </w:r>
    </w:p>
    <w:p w14:paraId="3137D8DE" w14:textId="77777777" w:rsidR="008E6FAF" w:rsidRPr="000A2690" w:rsidRDefault="008E6FAF" w:rsidP="002C41C7">
      <w:pPr>
        <w:pStyle w:val="Heading2"/>
      </w:pPr>
      <w:bookmarkStart w:id="87" w:name="_Toc57702502"/>
      <w:r>
        <w:t>Other Sources</w:t>
      </w:r>
      <w:bookmarkEnd w:id="87"/>
    </w:p>
    <w:p w14:paraId="46877DC3" w14:textId="77777777" w:rsidR="00512B4C" w:rsidRDefault="008E6FAF" w:rsidP="002C41C7">
      <w:r>
        <w:t xml:space="preserve">There are several alternative commercial and publicly available sources </w:t>
      </w:r>
      <w:r w:rsidR="00BC006A">
        <w:t>for</w:t>
      </w:r>
      <w:r>
        <w:t xml:space="preserve"> this data available under subscription</w:t>
      </w:r>
      <w:r w:rsidR="00385737">
        <w:t>.</w:t>
      </w:r>
    </w:p>
    <w:p w14:paraId="56F075C2" w14:textId="77777777" w:rsidR="00B65F25" w:rsidRDefault="00B65F25" w:rsidP="002C41C7">
      <w:pPr>
        <w:pStyle w:val="Heading1"/>
      </w:pPr>
      <w:bookmarkStart w:id="88" w:name="_Toc57702503"/>
      <w:r>
        <w:t>Recommendations for NON PBS Medicines</w:t>
      </w:r>
      <w:bookmarkEnd w:id="88"/>
    </w:p>
    <w:p w14:paraId="61E27E19" w14:textId="77777777" w:rsidR="00B65F25" w:rsidRDefault="00D76AD0" w:rsidP="002C41C7">
      <w:r>
        <w:t xml:space="preserve">Communicating medicines information safely </w:t>
      </w:r>
      <w:r w:rsidR="00AF434B">
        <w:t xml:space="preserve">and consistently </w:t>
      </w:r>
      <w:r>
        <w:t xml:space="preserve">promotes quality use of medicines. </w:t>
      </w:r>
      <w:r w:rsidR="00AF434B">
        <w:t>P</w:t>
      </w:r>
      <w:r>
        <w:t xml:space="preserve">rescribing </w:t>
      </w:r>
      <w:r w:rsidR="00AF434B">
        <w:t xml:space="preserve">by active ingredient </w:t>
      </w:r>
      <w:r>
        <w:t xml:space="preserve">is best practice for all medicines. </w:t>
      </w:r>
      <w:r w:rsidR="00B65F25" w:rsidRPr="00B65F25">
        <w:t xml:space="preserve">While </w:t>
      </w:r>
      <w:r w:rsidR="00B65F25">
        <w:t>the Department is</w:t>
      </w:r>
      <w:r w:rsidR="00B65F25" w:rsidRPr="00B65F25">
        <w:t xml:space="preserve"> only able to legislate and make recommendations concerning PBS</w:t>
      </w:r>
      <w:r w:rsidR="00B41692">
        <w:t>/RPBS</w:t>
      </w:r>
      <w:r w:rsidR="00B41692" w:rsidRPr="00B65F25">
        <w:t xml:space="preserve"> </w:t>
      </w:r>
      <w:r w:rsidR="00B65F25" w:rsidRPr="00B65F25">
        <w:t xml:space="preserve">medicines, States and Territories have </w:t>
      </w:r>
      <w:r>
        <w:t xml:space="preserve">indicated guidelines should be expanded </w:t>
      </w:r>
      <w:r w:rsidR="00B65F25" w:rsidRPr="00B65F25">
        <w:t>beyond PBS</w:t>
      </w:r>
      <w:r w:rsidR="00B41692">
        <w:t>/RPBS</w:t>
      </w:r>
      <w:r w:rsidR="00B65F25" w:rsidRPr="00B65F25">
        <w:t xml:space="preserve"> items</w:t>
      </w:r>
      <w:r>
        <w:t xml:space="preserve"> to all medicines</w:t>
      </w:r>
      <w:r w:rsidR="00B65F25" w:rsidRPr="00B65F25">
        <w:t>.</w:t>
      </w:r>
    </w:p>
    <w:p w14:paraId="490C7121" w14:textId="086B4E5E" w:rsidR="00B65F25" w:rsidRDefault="00B65F25" w:rsidP="002C41C7">
      <w:r>
        <w:t xml:space="preserve">Based on this </w:t>
      </w:r>
      <w:r w:rsidR="00422BD1">
        <w:t>premise</w:t>
      </w:r>
      <w:r>
        <w:t xml:space="preserve">, </w:t>
      </w:r>
      <w:r w:rsidR="00401BA6">
        <w:t xml:space="preserve">the </w:t>
      </w:r>
      <w:r>
        <w:t>NCT</w:t>
      </w:r>
      <w:r w:rsidR="00422BD1">
        <w:t xml:space="preserve">S </w:t>
      </w:r>
      <w:r w:rsidR="00401BA6">
        <w:t>AMT</w:t>
      </w:r>
      <w:r w:rsidR="00B465CA">
        <w:t xml:space="preserve"> </w:t>
      </w:r>
      <w:r w:rsidR="00401BA6">
        <w:t xml:space="preserve">MP </w:t>
      </w:r>
      <w:r w:rsidR="00422BD1">
        <w:t xml:space="preserve">source </w:t>
      </w:r>
      <w:r w:rsidR="00401BA6">
        <w:t>for the ingredient name text r</w:t>
      </w:r>
      <w:r w:rsidR="00422BD1">
        <w:t xml:space="preserve">eferred to in para </w:t>
      </w:r>
      <w:r w:rsidR="00422BD1">
        <w:fldChar w:fldCharType="begin"/>
      </w:r>
      <w:r w:rsidR="00422BD1">
        <w:instrText xml:space="preserve"> REF _Ref15975207 \r \h </w:instrText>
      </w:r>
      <w:r w:rsidR="00422BD1">
        <w:fldChar w:fldCharType="separate"/>
      </w:r>
      <w:r w:rsidR="005B1F80">
        <w:t>8.2</w:t>
      </w:r>
      <w:r w:rsidR="00422BD1">
        <w:fldChar w:fldCharType="end"/>
      </w:r>
      <w:r w:rsidR="00422BD1">
        <w:t xml:space="preserve"> is recommended.</w:t>
      </w:r>
    </w:p>
    <w:p w14:paraId="7D5CD5FA" w14:textId="77777777" w:rsidR="002D34DD" w:rsidRDefault="002D34DD">
      <w:pPr>
        <w:spacing w:before="0"/>
      </w:pPr>
    </w:p>
    <w:p w14:paraId="6D89D399" w14:textId="77777777" w:rsidR="003B51D4" w:rsidRDefault="00D32425" w:rsidP="00D75697">
      <w:pPr>
        <w:pStyle w:val="Heading1"/>
      </w:pPr>
      <w:bookmarkStart w:id="89" w:name="_Toc57702504"/>
      <w:r w:rsidRPr="00BC57B5">
        <w:t>Appendi</w:t>
      </w:r>
      <w:r w:rsidR="009626FE" w:rsidRPr="00BC57B5">
        <w:t>x</w:t>
      </w:r>
      <w:bookmarkEnd w:id="89"/>
    </w:p>
    <w:p w14:paraId="5B87977B" w14:textId="43B172B3" w:rsidR="006E1342" w:rsidRDefault="007E5E15" w:rsidP="002C41C7">
      <w:pPr>
        <w:pStyle w:val="Heading2"/>
      </w:pPr>
      <w:bookmarkStart w:id="90" w:name="_Ref15915557"/>
      <w:bookmarkStart w:id="91" w:name="_Toc57702505"/>
      <w:r>
        <w:t>B</w:t>
      </w:r>
      <w:r w:rsidR="006E1342">
        <w:t xml:space="preserve">rand substitution </w:t>
      </w:r>
      <w:r>
        <w:t xml:space="preserve">legislation </w:t>
      </w:r>
      <w:r w:rsidR="006E1342">
        <w:t xml:space="preserve">in the </w:t>
      </w:r>
      <w:r w:rsidR="006E1342" w:rsidRPr="003467EB">
        <w:rPr>
          <w:i/>
        </w:rPr>
        <w:t>National Health (Pharmaceutical Benefits) Regulations 2017</w:t>
      </w:r>
      <w:r w:rsidR="006E1342">
        <w:t>:</w:t>
      </w:r>
      <w:bookmarkEnd w:id="90"/>
      <w:bookmarkEnd w:id="91"/>
    </w:p>
    <w:p w14:paraId="7BCB301B" w14:textId="3BB8F9A7" w:rsidR="006E1342" w:rsidRPr="007E5E15" w:rsidRDefault="003F0390" w:rsidP="007E5E15">
      <w:pPr>
        <w:ind w:left="720"/>
        <w:rPr>
          <w:b/>
          <w:bCs/>
        </w:rPr>
      </w:pPr>
      <w:r>
        <w:rPr>
          <w:b/>
          <w:bCs/>
        </w:rPr>
        <w:t>For prescriptions:</w:t>
      </w:r>
    </w:p>
    <w:p w14:paraId="3D0187A0" w14:textId="77777777" w:rsidR="006E1342" w:rsidRPr="00AF434B" w:rsidRDefault="006E1342" w:rsidP="007E5E15">
      <w:pPr>
        <w:ind w:left="720"/>
      </w:pPr>
      <w:r w:rsidRPr="00AF434B">
        <w:t>Section 40(4):</w:t>
      </w:r>
    </w:p>
    <w:p w14:paraId="7EBCDCDD" w14:textId="77777777" w:rsidR="006E1342" w:rsidRPr="003467EB" w:rsidRDefault="006E1342" w:rsidP="007E5E15">
      <w:pPr>
        <w:ind w:left="1156"/>
        <w:rPr>
          <w:sz w:val="18"/>
          <w:szCs w:val="18"/>
        </w:rPr>
      </w:pPr>
      <w:r w:rsidRPr="003467EB">
        <w:rPr>
          <w:sz w:val="18"/>
          <w:szCs w:val="18"/>
        </w:rPr>
        <w:t>For the purposes of paragraphs (2)(b), (c) and (d), a prescription must not be prepared using a computer program that operates, or may operate, to indicate on a prescription by default, for the purpose of subsection 103(2A) of the Act, that only the brand of pharmaceutical benefit specified in the prescription is to be supplied.</w:t>
      </w:r>
    </w:p>
    <w:p w14:paraId="2E71FF06" w14:textId="7D5BD58D" w:rsidR="006E1342" w:rsidRPr="00AF434B" w:rsidRDefault="003F0390" w:rsidP="00E907A5">
      <w:pPr>
        <w:spacing w:before="240"/>
        <w:ind w:left="720"/>
        <w:rPr>
          <w:b/>
          <w:bCs/>
        </w:rPr>
      </w:pPr>
      <w:r>
        <w:rPr>
          <w:b/>
          <w:bCs/>
        </w:rPr>
        <w:t>For medication charts:</w:t>
      </w:r>
    </w:p>
    <w:p w14:paraId="66516304" w14:textId="77777777" w:rsidR="006E1342" w:rsidRPr="00AF434B" w:rsidRDefault="006E1342" w:rsidP="007E5E15">
      <w:pPr>
        <w:ind w:left="720"/>
      </w:pPr>
      <w:r w:rsidRPr="00AF434B">
        <w:t>Section 41(2)(e)</w:t>
      </w:r>
    </w:p>
    <w:p w14:paraId="5B50887D" w14:textId="77777777" w:rsidR="006E1342" w:rsidRPr="003467EB" w:rsidRDefault="006E1342" w:rsidP="00A5537B">
      <w:pPr>
        <w:spacing w:after="360"/>
        <w:ind w:left="1157"/>
        <w:rPr>
          <w:sz w:val="18"/>
          <w:szCs w:val="18"/>
        </w:rPr>
      </w:pPr>
      <w:r w:rsidRPr="003467EB">
        <w:rPr>
          <w:sz w:val="18"/>
          <w:szCs w:val="18"/>
        </w:rPr>
        <w:t>using a computer program that operates, or may operate, to indicate on a prescription by default, for the purpose of subsection 103(2A) of the Act, that only the brand of pharmaceutical benefit specified in the prescription is to be supplied.</w:t>
      </w:r>
    </w:p>
    <w:p w14:paraId="3B90FCCD" w14:textId="4F577295" w:rsidR="002105AA" w:rsidRDefault="002105AA" w:rsidP="002105AA">
      <w:pPr>
        <w:pStyle w:val="Heading2"/>
      </w:pPr>
      <w:bookmarkStart w:id="92" w:name="_Ref23747555"/>
      <w:bookmarkStart w:id="93" w:name="_Toc57702506"/>
      <w:r>
        <w:t>Extract from regulations pertaining to this measure (Pharmaceutical Benefits) Regulations 2017:</w:t>
      </w:r>
      <w:bookmarkEnd w:id="92"/>
      <w:bookmarkEnd w:id="93"/>
    </w:p>
    <w:p w14:paraId="443F12B3" w14:textId="77777777" w:rsidR="00674E85" w:rsidRDefault="00161531" w:rsidP="00A71FE9">
      <w:pPr>
        <w:rPr>
          <w:i/>
        </w:rPr>
      </w:pPr>
      <w:r w:rsidRPr="00EB2C01">
        <w:t xml:space="preserve">The </w:t>
      </w:r>
      <w:r>
        <w:t xml:space="preserve">legislative amendments, </w:t>
      </w:r>
      <w:r w:rsidR="00A71FE9">
        <w:br/>
      </w:r>
      <w:r>
        <w:rPr>
          <w:iCs/>
        </w:rPr>
        <w:t>"</w:t>
      </w:r>
      <w:r w:rsidRPr="003C6BD5">
        <w:rPr>
          <w:i/>
          <w:sz w:val="20"/>
        </w:rPr>
        <w:t>The National Health (Pharmaceutical Benefits) Amendment (Active ingredient Prescribing) Regulations 2019</w:t>
      </w:r>
      <w:r>
        <w:rPr>
          <w:i/>
        </w:rPr>
        <w:t>"</w:t>
      </w:r>
      <w:r w:rsidR="00A71FE9">
        <w:rPr>
          <w:i/>
        </w:rPr>
        <w:br/>
      </w:r>
      <w:r>
        <w:rPr>
          <w:i/>
        </w:rPr>
        <w:lastRenderedPageBreak/>
        <w:t>"</w:t>
      </w:r>
      <w:r w:rsidRPr="003C6BD5">
        <w:rPr>
          <w:i/>
          <w:sz w:val="18"/>
          <w:szCs w:val="18"/>
        </w:rPr>
        <w:t>The Veterans’ Affairs Pharmaceutical Benefits Schemes (Electronic Prescriptions and Active Ingredient Prescribing) Amendment Instrument 2019</w:t>
      </w:r>
      <w:r>
        <w:rPr>
          <w:i/>
        </w:rPr>
        <w:t xml:space="preserve">" </w:t>
      </w:r>
      <w:r w:rsidR="00674E85" w:rsidRPr="0030440B">
        <w:rPr>
          <w:sz w:val="18"/>
          <w:szCs w:val="18"/>
        </w:rPr>
        <w:t>and</w:t>
      </w:r>
    </w:p>
    <w:p w14:paraId="42BD28C8" w14:textId="77777777" w:rsidR="00674E85" w:rsidRDefault="008C7898" w:rsidP="00A71FE9">
      <w:pPr>
        <w:rPr>
          <w:i/>
        </w:rPr>
      </w:pPr>
      <w:r w:rsidRPr="003C6BD5">
        <w:rPr>
          <w:i/>
          <w:sz w:val="20"/>
        </w:rPr>
        <w:t>The National Health (Pharmaceutical Benefits) Amendment (Active ingredi</w:t>
      </w:r>
      <w:r>
        <w:rPr>
          <w:i/>
          <w:sz w:val="20"/>
        </w:rPr>
        <w:t>ent Prescribing) Regulations 2020</w:t>
      </w:r>
      <w:r>
        <w:rPr>
          <w:i/>
        </w:rPr>
        <w:t>".</w:t>
      </w:r>
    </w:p>
    <w:p w14:paraId="6DD24CA2" w14:textId="496C44A7" w:rsidR="00A71FE9" w:rsidRDefault="00161531" w:rsidP="00A71FE9">
      <w:r>
        <w:t>are available on the Federal Register of Legislation’s website</w:t>
      </w:r>
      <w:r w:rsidR="00A71FE9">
        <w:t>s</w:t>
      </w:r>
    </w:p>
    <w:p w14:paraId="37D2C3BC" w14:textId="7C6F561F" w:rsidR="00A71FE9" w:rsidRDefault="00002779" w:rsidP="00A71FE9">
      <w:pPr>
        <w:spacing w:after="80"/>
        <w:rPr>
          <w:rFonts w:asciiTheme="minorHAnsi" w:hAnsiTheme="minorHAnsi" w:cstheme="minorHAnsi"/>
          <w:b/>
          <w:bCs/>
          <w:color w:val="365F91" w:themeColor="accent1" w:themeShade="BF"/>
          <w:sz w:val="24"/>
          <w:szCs w:val="24"/>
        </w:rPr>
      </w:pPr>
      <w:hyperlink r:id="rId24" w:history="1">
        <w:r w:rsidR="00161531" w:rsidRPr="00A71FE9">
          <w:rPr>
            <w:rStyle w:val="Hyperlink"/>
            <w:sz w:val="20"/>
          </w:rPr>
          <w:t>https://www.legislation.gov.au/Details/F2019L01312</w:t>
        </w:r>
      </w:hyperlink>
    </w:p>
    <w:p w14:paraId="2BABD7E4" w14:textId="7F77D1B7" w:rsidR="008C7898" w:rsidRDefault="00002779" w:rsidP="00A71FE9">
      <w:pPr>
        <w:spacing w:before="80" w:after="120"/>
        <w:rPr>
          <w:rStyle w:val="Hyperlink"/>
          <w:sz w:val="20"/>
        </w:rPr>
      </w:pPr>
      <w:hyperlink r:id="rId25" w:history="1">
        <w:r w:rsidR="00A71FE9" w:rsidRPr="00A71FE9">
          <w:rPr>
            <w:rStyle w:val="Hyperlink"/>
            <w:sz w:val="20"/>
          </w:rPr>
          <w:t>https://www.legislation.gov.au/Details/F2019L01387</w:t>
        </w:r>
      </w:hyperlink>
      <w:r w:rsidR="008C7898">
        <w:rPr>
          <w:rStyle w:val="Hyperlink"/>
          <w:sz w:val="20"/>
        </w:rPr>
        <w:t xml:space="preserve"> and</w:t>
      </w:r>
    </w:p>
    <w:p w14:paraId="7A862270" w14:textId="32B56779" w:rsidR="0030440B" w:rsidRDefault="00002779" w:rsidP="00A71FE9">
      <w:pPr>
        <w:spacing w:before="80" w:after="120"/>
        <w:rPr>
          <w:rStyle w:val="Hyperlink"/>
          <w:sz w:val="20"/>
        </w:rPr>
      </w:pPr>
      <w:hyperlink r:id="rId26" w:history="1">
        <w:r w:rsidR="0030440B" w:rsidRPr="00415862">
          <w:rPr>
            <w:rStyle w:val="Hyperlink"/>
            <w:sz w:val="20"/>
          </w:rPr>
          <w:t>https://www.legislation.gov.au/Details/F2020L01055</w:t>
        </w:r>
      </w:hyperlink>
    </w:p>
    <w:p w14:paraId="06E41003" w14:textId="70A356EE" w:rsidR="00AF434B" w:rsidRDefault="00AF434B" w:rsidP="00A71FE9">
      <w:pPr>
        <w:spacing w:before="80" w:after="120"/>
        <w:rPr>
          <w:rFonts w:asciiTheme="minorHAnsi" w:hAnsiTheme="minorHAnsi" w:cstheme="minorHAnsi"/>
          <w:b/>
          <w:bCs/>
          <w:color w:val="365F91" w:themeColor="accent1" w:themeShade="BF"/>
          <w:sz w:val="24"/>
          <w:szCs w:val="24"/>
        </w:rPr>
      </w:pPr>
      <w:r>
        <w:rPr>
          <w:rStyle w:val="Hyperlink"/>
          <w:sz w:val="20"/>
        </w:rPr>
        <w:t>As these amendments have now been compiled (</w:t>
      </w:r>
      <w:r w:rsidR="00A622A9">
        <w:rPr>
          <w:rStyle w:val="Hyperlink"/>
          <w:sz w:val="20"/>
        </w:rPr>
        <w:t>i.e.</w:t>
      </w:r>
      <w:r>
        <w:rPr>
          <w:rStyle w:val="Hyperlink"/>
          <w:sz w:val="20"/>
        </w:rPr>
        <w:t xml:space="preserve"> incorporated) into the relevant principal legislation, they are no longer in force. However, they provide a comprehensive summary of the changes made.</w:t>
      </w:r>
    </w:p>
    <w:p w14:paraId="7646F729" w14:textId="77777777" w:rsidR="00417BF1" w:rsidRDefault="00417BF1" w:rsidP="00417BF1">
      <w:pPr>
        <w:pStyle w:val="Footer"/>
      </w:pPr>
    </w:p>
    <w:p w14:paraId="1B84E951" w14:textId="77777777" w:rsidR="00417BF1" w:rsidRPr="00EB2C01" w:rsidRDefault="00417BF1" w:rsidP="00417BF1">
      <w:r>
        <w:t>An endorsed Explanatory Statement is also included to assist in interpreting the changes and provides additional background.</w:t>
      </w:r>
    </w:p>
    <w:p w14:paraId="54F780FF" w14:textId="3A36012D" w:rsidR="00417BF1" w:rsidRDefault="00417BF1" w:rsidP="00417BF1">
      <w:pPr>
        <w:spacing w:after="240"/>
      </w:pPr>
      <w:r>
        <w:t xml:space="preserve">The following </w:t>
      </w:r>
      <w:r w:rsidR="00161531">
        <w:t xml:space="preserve">sections </w:t>
      </w:r>
      <w:r>
        <w:t>ha</w:t>
      </w:r>
      <w:r w:rsidR="00161531">
        <w:t>ve</w:t>
      </w:r>
      <w:r>
        <w:t xml:space="preserve"> been extracted from the PBS </w:t>
      </w:r>
      <w:r w:rsidRPr="00E907A5">
        <w:t>Expla</w:t>
      </w:r>
      <w:r>
        <w:t>n</w:t>
      </w:r>
      <w:r w:rsidRPr="00E907A5">
        <w:t>atory Statement</w:t>
      </w:r>
      <w:r w:rsidR="003F0390">
        <w:t>.</w:t>
      </w:r>
    </w:p>
    <w:p w14:paraId="361C95CC" w14:textId="77777777" w:rsidR="00161531" w:rsidRPr="00A5537B" w:rsidRDefault="00161531" w:rsidP="005130F4">
      <w:pPr>
        <w:pStyle w:val="BodyText"/>
        <w:spacing w:line="252" w:lineRule="auto"/>
        <w:ind w:left="597" w:right="543" w:hanging="2"/>
        <w:jc w:val="both"/>
        <w:rPr>
          <w:color w:val="17365D" w:themeColor="text2" w:themeShade="BF"/>
          <w:sz w:val="18"/>
          <w:szCs w:val="18"/>
        </w:rPr>
      </w:pPr>
      <w:bookmarkStart w:id="94" w:name="_Hlk23412924"/>
      <w:r w:rsidRPr="00A5537B">
        <w:rPr>
          <w:color w:val="17365D" w:themeColor="text2" w:themeShade="BF"/>
          <w:w w:val="105"/>
          <w:sz w:val="18"/>
          <w:szCs w:val="18"/>
        </w:rPr>
        <w:t>In the 2018-19 Budget, the Governme</w:t>
      </w:r>
      <w:r w:rsidR="005130F4">
        <w:rPr>
          <w:color w:val="17365D" w:themeColor="text2" w:themeShade="BF"/>
          <w:w w:val="105"/>
          <w:sz w:val="18"/>
          <w:szCs w:val="18"/>
        </w:rPr>
        <w:t xml:space="preserve">nt announced the implementation </w:t>
      </w:r>
      <w:r w:rsidRPr="00A5537B">
        <w:rPr>
          <w:color w:val="17365D" w:themeColor="text2" w:themeShade="BF"/>
          <w:w w:val="105"/>
          <w:sz w:val="18"/>
          <w:szCs w:val="18"/>
        </w:rPr>
        <w:t>of electronic prescribing from late 2019. This initiative included the implementation of active ingredient prescribing (AIP) to increase patient understanding of the medicines they are taking and promote the uptake of generic and biosimilar medicines, supporting a viable long term market for these medicines in Australia.</w:t>
      </w:r>
    </w:p>
    <w:p w14:paraId="01AB80D0" w14:textId="77777777" w:rsidR="00161531" w:rsidRPr="00A5537B" w:rsidRDefault="00161531" w:rsidP="005130F4">
      <w:pPr>
        <w:pStyle w:val="BodyText"/>
        <w:spacing w:line="249" w:lineRule="auto"/>
        <w:ind w:left="599" w:right="522" w:firstLine="1"/>
        <w:jc w:val="both"/>
        <w:rPr>
          <w:color w:val="17365D" w:themeColor="text2" w:themeShade="BF"/>
          <w:sz w:val="18"/>
          <w:szCs w:val="18"/>
        </w:rPr>
      </w:pPr>
      <w:r w:rsidRPr="00A5537B">
        <w:rPr>
          <w:color w:val="17365D" w:themeColor="text2" w:themeShade="BF"/>
          <w:w w:val="105"/>
          <w:sz w:val="18"/>
          <w:szCs w:val="18"/>
        </w:rPr>
        <w:t>In order to increase understanding of active ingredients and support for generic and biosimilar medicines, the government committed to ensure the identification of active ingredient names on prescriptions, without impeding the professional and clinical judgment of prescribers.</w:t>
      </w:r>
    </w:p>
    <w:p w14:paraId="2B796CE7" w14:textId="77777777" w:rsidR="00161531" w:rsidRPr="00A5537B" w:rsidRDefault="00161531" w:rsidP="00161531">
      <w:pPr>
        <w:pStyle w:val="BodyText"/>
        <w:ind w:left="599"/>
        <w:rPr>
          <w:color w:val="17365D" w:themeColor="text2" w:themeShade="BF"/>
          <w:sz w:val="18"/>
          <w:szCs w:val="18"/>
        </w:rPr>
      </w:pPr>
      <w:bookmarkStart w:id="95" w:name="_Hlk31362178"/>
      <w:r w:rsidRPr="00A5537B">
        <w:rPr>
          <w:color w:val="17365D" w:themeColor="text2" w:themeShade="BF"/>
          <w:w w:val="105"/>
          <w:sz w:val="18"/>
          <w:szCs w:val="18"/>
        </w:rPr>
        <w:t>The Regulations:</w:t>
      </w:r>
    </w:p>
    <w:bookmarkEnd w:id="95"/>
    <w:p w14:paraId="6C539C61" w14:textId="77777777" w:rsidR="00161531" w:rsidRPr="00A5537B" w:rsidRDefault="00161531" w:rsidP="00161531">
      <w:pPr>
        <w:pStyle w:val="ListParagraph"/>
        <w:widowControl w:val="0"/>
        <w:numPr>
          <w:ilvl w:val="0"/>
          <w:numId w:val="7"/>
        </w:numPr>
        <w:tabs>
          <w:tab w:val="left" w:pos="1141"/>
        </w:tabs>
        <w:autoSpaceDE w:val="0"/>
        <w:autoSpaceDN w:val="0"/>
        <w:spacing w:line="252" w:lineRule="auto"/>
        <w:ind w:right="580" w:hanging="359"/>
        <w:jc w:val="both"/>
        <w:rPr>
          <w:color w:val="17365D" w:themeColor="text2" w:themeShade="BF"/>
          <w:w w:val="105"/>
          <w:sz w:val="18"/>
          <w:szCs w:val="18"/>
        </w:rPr>
      </w:pPr>
      <w:r w:rsidRPr="00A5537B">
        <w:rPr>
          <w:color w:val="17365D" w:themeColor="text2" w:themeShade="BF"/>
          <w:w w:val="105"/>
          <w:sz w:val="18"/>
          <w:szCs w:val="18"/>
        </w:rPr>
        <w:t>require the inclusion of active ingredients on all PBS prescriptions (excluding handwritten prescriptions, paper-based medication charts in the residential aged care setting, prescriptions for medicines with four or more active ingredients and other items as determined by the Secretary for practicality and safety reasons);</w:t>
      </w:r>
    </w:p>
    <w:p w14:paraId="5EA32A80" w14:textId="77777777" w:rsidR="00161531" w:rsidRPr="00A5537B" w:rsidRDefault="00161531" w:rsidP="00161531">
      <w:pPr>
        <w:pStyle w:val="ListParagraph"/>
        <w:widowControl w:val="0"/>
        <w:numPr>
          <w:ilvl w:val="0"/>
          <w:numId w:val="7"/>
        </w:numPr>
        <w:tabs>
          <w:tab w:val="left" w:pos="1141"/>
        </w:tabs>
        <w:autoSpaceDE w:val="0"/>
        <w:autoSpaceDN w:val="0"/>
        <w:spacing w:line="252" w:lineRule="auto"/>
        <w:ind w:right="580" w:hanging="359"/>
        <w:jc w:val="both"/>
        <w:rPr>
          <w:color w:val="17365D" w:themeColor="text2" w:themeShade="BF"/>
          <w:sz w:val="18"/>
          <w:szCs w:val="18"/>
        </w:rPr>
      </w:pPr>
      <w:r w:rsidRPr="00A5537B">
        <w:rPr>
          <w:color w:val="17365D" w:themeColor="text2" w:themeShade="BF"/>
          <w:w w:val="105"/>
          <w:sz w:val="18"/>
          <w:szCs w:val="18"/>
        </w:rPr>
        <w:t>enable the inclusion of a brand on a prescription if deemed clinically necessary by the prescriber. This includes situations where the medication prescribed may pose a potential patient safety risk if the brand is not specified or to ensure medication continuance where a patient is familiar with a particular brand of their regular</w:t>
      </w:r>
      <w:r w:rsidRPr="00A5537B">
        <w:rPr>
          <w:color w:val="17365D" w:themeColor="text2" w:themeShade="BF"/>
          <w:spacing w:val="-18"/>
          <w:w w:val="105"/>
          <w:sz w:val="18"/>
          <w:szCs w:val="18"/>
        </w:rPr>
        <w:t xml:space="preserve"> </w:t>
      </w:r>
      <w:r w:rsidRPr="00A5537B">
        <w:rPr>
          <w:color w:val="17365D" w:themeColor="text2" w:themeShade="BF"/>
          <w:w w:val="105"/>
          <w:sz w:val="18"/>
          <w:szCs w:val="18"/>
        </w:rPr>
        <w:t>medicine;</w:t>
      </w:r>
    </w:p>
    <w:p w14:paraId="34A254AE" w14:textId="77777777" w:rsidR="00161531" w:rsidRPr="00A5537B" w:rsidRDefault="00161531" w:rsidP="00161531">
      <w:pPr>
        <w:pStyle w:val="ListParagraph"/>
        <w:widowControl w:val="0"/>
        <w:numPr>
          <w:ilvl w:val="0"/>
          <w:numId w:val="7"/>
        </w:numPr>
        <w:tabs>
          <w:tab w:val="left" w:pos="1148"/>
        </w:tabs>
        <w:autoSpaceDE w:val="0"/>
        <w:autoSpaceDN w:val="0"/>
        <w:spacing w:line="252" w:lineRule="auto"/>
        <w:ind w:left="1142" w:right="576" w:hanging="357"/>
        <w:jc w:val="both"/>
        <w:rPr>
          <w:color w:val="17365D" w:themeColor="text2" w:themeShade="BF"/>
          <w:sz w:val="18"/>
          <w:szCs w:val="18"/>
        </w:rPr>
      </w:pPr>
      <w:r w:rsidRPr="00A5537B">
        <w:rPr>
          <w:color w:val="17365D" w:themeColor="text2" w:themeShade="BF"/>
          <w:w w:val="105"/>
          <w:sz w:val="18"/>
          <w:szCs w:val="18"/>
        </w:rPr>
        <w:t>require active ingredients to appear first, where a prescriber makes a clinical decision to include a brand name on a prescriptions;</w:t>
      </w:r>
      <w:r w:rsidRPr="00A5537B">
        <w:rPr>
          <w:color w:val="17365D" w:themeColor="text2" w:themeShade="BF"/>
          <w:spacing w:val="-36"/>
          <w:w w:val="105"/>
          <w:sz w:val="18"/>
          <w:szCs w:val="18"/>
        </w:rPr>
        <w:t xml:space="preserve"> </w:t>
      </w:r>
      <w:r w:rsidRPr="00A5537B">
        <w:rPr>
          <w:color w:val="17365D" w:themeColor="text2" w:themeShade="BF"/>
          <w:w w:val="105"/>
          <w:sz w:val="18"/>
          <w:szCs w:val="18"/>
        </w:rPr>
        <w:t>and</w:t>
      </w:r>
    </w:p>
    <w:p w14:paraId="52976B6E" w14:textId="77777777" w:rsidR="00161531" w:rsidRPr="00A5537B" w:rsidRDefault="00161531" w:rsidP="00161531">
      <w:pPr>
        <w:pStyle w:val="ListParagraph"/>
        <w:widowControl w:val="0"/>
        <w:numPr>
          <w:ilvl w:val="0"/>
          <w:numId w:val="7"/>
        </w:numPr>
        <w:tabs>
          <w:tab w:val="left" w:pos="1146"/>
        </w:tabs>
        <w:autoSpaceDE w:val="0"/>
        <w:autoSpaceDN w:val="0"/>
        <w:spacing w:line="249" w:lineRule="auto"/>
        <w:ind w:left="1146" w:right="574" w:hanging="361"/>
        <w:jc w:val="both"/>
        <w:rPr>
          <w:color w:val="17365D" w:themeColor="text2" w:themeShade="BF"/>
          <w:sz w:val="18"/>
          <w:szCs w:val="18"/>
        </w:rPr>
      </w:pPr>
      <w:bookmarkStart w:id="96" w:name="_Hlk31362161"/>
      <w:r w:rsidRPr="00A5537B">
        <w:rPr>
          <w:color w:val="17365D" w:themeColor="text2" w:themeShade="BF"/>
          <w:w w:val="105"/>
          <w:sz w:val="18"/>
          <w:szCs w:val="18"/>
        </w:rPr>
        <w:t>prohibit</w:t>
      </w:r>
      <w:r w:rsidRPr="00A5537B">
        <w:rPr>
          <w:color w:val="17365D" w:themeColor="text2" w:themeShade="BF"/>
          <w:spacing w:val="-6"/>
          <w:w w:val="105"/>
          <w:sz w:val="18"/>
          <w:szCs w:val="18"/>
        </w:rPr>
        <w:t xml:space="preserve"> </w:t>
      </w:r>
      <w:r w:rsidRPr="00A5537B">
        <w:rPr>
          <w:color w:val="17365D" w:themeColor="text2" w:themeShade="BF"/>
          <w:w w:val="105"/>
          <w:sz w:val="18"/>
          <w:szCs w:val="18"/>
        </w:rPr>
        <w:t>prescribing</w:t>
      </w:r>
      <w:r w:rsidRPr="00A5537B">
        <w:rPr>
          <w:color w:val="17365D" w:themeColor="text2" w:themeShade="BF"/>
          <w:spacing w:val="-10"/>
          <w:w w:val="105"/>
          <w:sz w:val="18"/>
          <w:szCs w:val="18"/>
        </w:rPr>
        <w:t xml:space="preserve"> </w:t>
      </w:r>
      <w:r w:rsidRPr="00A5537B">
        <w:rPr>
          <w:color w:val="17365D" w:themeColor="text2" w:themeShade="BF"/>
          <w:w w:val="105"/>
          <w:sz w:val="18"/>
          <w:szCs w:val="18"/>
        </w:rPr>
        <w:t>software</w:t>
      </w:r>
      <w:r w:rsidRPr="00A5537B">
        <w:rPr>
          <w:color w:val="17365D" w:themeColor="text2" w:themeShade="BF"/>
          <w:spacing w:val="-15"/>
          <w:w w:val="105"/>
          <w:sz w:val="18"/>
          <w:szCs w:val="18"/>
        </w:rPr>
        <w:t xml:space="preserve"> </w:t>
      </w:r>
      <w:r w:rsidRPr="00A5537B">
        <w:rPr>
          <w:color w:val="17365D" w:themeColor="text2" w:themeShade="BF"/>
          <w:w w:val="105"/>
          <w:sz w:val="18"/>
          <w:szCs w:val="18"/>
        </w:rPr>
        <w:t>from</w:t>
      </w:r>
      <w:r w:rsidRPr="00A5537B">
        <w:rPr>
          <w:color w:val="17365D" w:themeColor="text2" w:themeShade="BF"/>
          <w:spacing w:val="-7"/>
          <w:w w:val="105"/>
          <w:sz w:val="18"/>
          <w:szCs w:val="18"/>
        </w:rPr>
        <w:t xml:space="preserve"> </w:t>
      </w:r>
      <w:r w:rsidRPr="00A5537B">
        <w:rPr>
          <w:color w:val="17365D" w:themeColor="text2" w:themeShade="BF"/>
          <w:w w:val="105"/>
          <w:sz w:val="18"/>
          <w:szCs w:val="18"/>
        </w:rPr>
        <w:t>automatically</w:t>
      </w:r>
      <w:r w:rsidRPr="00A5537B">
        <w:rPr>
          <w:color w:val="17365D" w:themeColor="text2" w:themeShade="BF"/>
          <w:spacing w:val="-4"/>
          <w:w w:val="105"/>
          <w:sz w:val="18"/>
          <w:szCs w:val="18"/>
        </w:rPr>
        <w:t xml:space="preserve"> </w:t>
      </w:r>
      <w:r w:rsidRPr="00A5537B">
        <w:rPr>
          <w:color w:val="17365D" w:themeColor="text2" w:themeShade="BF"/>
          <w:w w:val="105"/>
          <w:sz w:val="18"/>
          <w:szCs w:val="18"/>
        </w:rPr>
        <w:t>including</w:t>
      </w:r>
      <w:r w:rsidRPr="00A5537B">
        <w:rPr>
          <w:color w:val="17365D" w:themeColor="text2" w:themeShade="BF"/>
          <w:spacing w:val="-10"/>
          <w:w w:val="105"/>
          <w:sz w:val="18"/>
          <w:szCs w:val="18"/>
        </w:rPr>
        <w:t xml:space="preserve"> </w:t>
      </w:r>
      <w:r w:rsidRPr="00A5537B">
        <w:rPr>
          <w:color w:val="17365D" w:themeColor="text2" w:themeShade="BF"/>
          <w:w w:val="105"/>
          <w:sz w:val="18"/>
          <w:szCs w:val="18"/>
        </w:rPr>
        <w:t>brand</w:t>
      </w:r>
      <w:r w:rsidRPr="00A5537B">
        <w:rPr>
          <w:color w:val="17365D" w:themeColor="text2" w:themeShade="BF"/>
          <w:spacing w:val="-11"/>
          <w:w w:val="105"/>
          <w:sz w:val="18"/>
          <w:szCs w:val="18"/>
        </w:rPr>
        <w:t xml:space="preserve"> </w:t>
      </w:r>
      <w:r w:rsidRPr="00A5537B">
        <w:rPr>
          <w:color w:val="17365D" w:themeColor="text2" w:themeShade="BF"/>
          <w:w w:val="105"/>
          <w:sz w:val="18"/>
          <w:szCs w:val="18"/>
        </w:rPr>
        <w:t>names</w:t>
      </w:r>
      <w:r w:rsidRPr="00A5537B">
        <w:rPr>
          <w:color w:val="17365D" w:themeColor="text2" w:themeShade="BF"/>
          <w:spacing w:val="-13"/>
          <w:w w:val="105"/>
          <w:sz w:val="18"/>
          <w:szCs w:val="18"/>
        </w:rPr>
        <w:t xml:space="preserve"> </w:t>
      </w:r>
      <w:r w:rsidRPr="00A5537B">
        <w:rPr>
          <w:color w:val="17365D" w:themeColor="text2" w:themeShade="BF"/>
          <w:w w:val="105"/>
          <w:sz w:val="18"/>
          <w:szCs w:val="18"/>
        </w:rPr>
        <w:t>on</w:t>
      </w:r>
      <w:r w:rsidRPr="00A5537B">
        <w:rPr>
          <w:color w:val="17365D" w:themeColor="text2" w:themeShade="BF"/>
          <w:spacing w:val="-17"/>
          <w:w w:val="105"/>
          <w:sz w:val="18"/>
          <w:szCs w:val="18"/>
        </w:rPr>
        <w:t xml:space="preserve"> </w:t>
      </w:r>
      <w:r w:rsidRPr="00A5537B">
        <w:rPr>
          <w:color w:val="17365D" w:themeColor="text2" w:themeShade="BF"/>
          <w:w w:val="105"/>
          <w:sz w:val="18"/>
          <w:szCs w:val="18"/>
        </w:rPr>
        <w:t>prescriptions</w:t>
      </w:r>
      <w:r w:rsidRPr="00A5537B">
        <w:rPr>
          <w:color w:val="17365D" w:themeColor="text2" w:themeShade="BF"/>
          <w:spacing w:val="-4"/>
          <w:w w:val="105"/>
          <w:sz w:val="18"/>
          <w:szCs w:val="18"/>
        </w:rPr>
        <w:t xml:space="preserve"> </w:t>
      </w:r>
      <w:r w:rsidRPr="00A5537B">
        <w:rPr>
          <w:color w:val="17365D" w:themeColor="text2" w:themeShade="BF"/>
          <w:w w:val="105"/>
          <w:sz w:val="18"/>
          <w:szCs w:val="18"/>
        </w:rPr>
        <w:t>by default, to ensure doctors make a clinical decision regarding the inclusion of</w:t>
      </w:r>
      <w:r w:rsidRPr="00A5537B">
        <w:rPr>
          <w:color w:val="17365D" w:themeColor="text2" w:themeShade="BF"/>
          <w:spacing w:val="-44"/>
          <w:w w:val="105"/>
          <w:sz w:val="18"/>
          <w:szCs w:val="18"/>
        </w:rPr>
        <w:t xml:space="preserve"> </w:t>
      </w:r>
      <w:r w:rsidRPr="00A5537B">
        <w:rPr>
          <w:color w:val="17365D" w:themeColor="text2" w:themeShade="BF"/>
          <w:w w:val="105"/>
          <w:sz w:val="18"/>
          <w:szCs w:val="18"/>
        </w:rPr>
        <w:t>brand.</w:t>
      </w:r>
    </w:p>
    <w:bookmarkEnd w:id="96"/>
    <w:p w14:paraId="16013B19" w14:textId="77777777" w:rsidR="00161531" w:rsidRPr="00A5537B" w:rsidRDefault="00161531" w:rsidP="005130F4">
      <w:pPr>
        <w:pStyle w:val="BodyText"/>
        <w:spacing w:line="252" w:lineRule="auto"/>
        <w:ind w:left="583" w:right="612" w:hanging="4"/>
        <w:jc w:val="both"/>
        <w:rPr>
          <w:color w:val="17365D" w:themeColor="text2" w:themeShade="BF"/>
          <w:sz w:val="18"/>
          <w:szCs w:val="18"/>
        </w:rPr>
      </w:pPr>
      <w:r w:rsidRPr="00A5537B">
        <w:rPr>
          <w:color w:val="17365D" w:themeColor="text2" w:themeShade="BF"/>
          <w:w w:val="105"/>
          <w:sz w:val="18"/>
          <w:szCs w:val="18"/>
        </w:rPr>
        <w:t>These amendments do not interfere with patients' choice of medicines, or prescribers' ability to prescribe the medicine that best meets their patient's clinical need. To support prescribers' clinical decision regarding the inclusion of a brand, the Department of Health has engaged the Australian Commission on Safety and Quality in Healthcare (ACSQHC) to develop support documentation for prescribers, including Australian Guidelines for Active Ingredient Prescribing and a list of medicines where the inclusion of brand is recommended for patient safety.</w:t>
      </w:r>
    </w:p>
    <w:p w14:paraId="4844E348" w14:textId="4CA43344" w:rsidR="00161531" w:rsidRPr="00A5537B" w:rsidRDefault="00161531" w:rsidP="00A71FE9">
      <w:pPr>
        <w:pStyle w:val="BodyText"/>
        <w:spacing w:line="252" w:lineRule="auto"/>
        <w:ind w:left="585" w:right="663" w:hanging="1"/>
        <w:jc w:val="both"/>
        <w:rPr>
          <w:color w:val="17365D" w:themeColor="text2" w:themeShade="BF"/>
          <w:sz w:val="18"/>
          <w:szCs w:val="18"/>
        </w:rPr>
      </w:pPr>
      <w:r w:rsidRPr="00A5537B">
        <w:rPr>
          <w:color w:val="17365D" w:themeColor="text2" w:themeShade="BF"/>
          <w:w w:val="105"/>
          <w:sz w:val="18"/>
          <w:szCs w:val="18"/>
        </w:rPr>
        <w:lastRenderedPageBreak/>
        <w:t>The</w:t>
      </w:r>
      <w:r w:rsidRPr="00A5537B">
        <w:rPr>
          <w:color w:val="17365D" w:themeColor="text2" w:themeShade="BF"/>
          <w:spacing w:val="-15"/>
          <w:w w:val="105"/>
          <w:sz w:val="18"/>
          <w:szCs w:val="18"/>
        </w:rPr>
        <w:t xml:space="preserve"> </w:t>
      </w:r>
      <w:r w:rsidRPr="00A5537B">
        <w:rPr>
          <w:color w:val="17365D" w:themeColor="text2" w:themeShade="BF"/>
          <w:w w:val="105"/>
          <w:sz w:val="18"/>
          <w:szCs w:val="18"/>
        </w:rPr>
        <w:t>Regulations</w:t>
      </w:r>
      <w:r w:rsidRPr="00A5537B">
        <w:rPr>
          <w:color w:val="17365D" w:themeColor="text2" w:themeShade="BF"/>
          <w:spacing w:val="2"/>
          <w:w w:val="105"/>
          <w:sz w:val="18"/>
          <w:szCs w:val="18"/>
        </w:rPr>
        <w:t xml:space="preserve"> </w:t>
      </w:r>
      <w:r w:rsidR="005E051C" w:rsidRPr="00A5537B">
        <w:rPr>
          <w:color w:val="17365D" w:themeColor="text2" w:themeShade="BF"/>
          <w:w w:val="105"/>
          <w:sz w:val="18"/>
          <w:szCs w:val="18"/>
        </w:rPr>
        <w:t>t</w:t>
      </w:r>
      <w:r w:rsidR="005E051C">
        <w:rPr>
          <w:color w:val="17365D" w:themeColor="text2" w:themeShade="BF"/>
          <w:w w:val="105"/>
          <w:sz w:val="18"/>
          <w:szCs w:val="18"/>
        </w:rPr>
        <w:t>ook</w:t>
      </w:r>
      <w:r w:rsidR="005E051C" w:rsidRPr="00A5537B">
        <w:rPr>
          <w:color w:val="17365D" w:themeColor="text2" w:themeShade="BF"/>
          <w:spacing w:val="-18"/>
          <w:w w:val="105"/>
          <w:sz w:val="18"/>
          <w:szCs w:val="18"/>
        </w:rPr>
        <w:t xml:space="preserve"> </w:t>
      </w:r>
      <w:r w:rsidRPr="00A5537B">
        <w:rPr>
          <w:color w:val="17365D" w:themeColor="text2" w:themeShade="BF"/>
          <w:w w:val="105"/>
          <w:sz w:val="18"/>
          <w:szCs w:val="18"/>
        </w:rPr>
        <w:t>effect</w:t>
      </w:r>
      <w:r w:rsidRPr="00A5537B">
        <w:rPr>
          <w:color w:val="17365D" w:themeColor="text2" w:themeShade="BF"/>
          <w:spacing w:val="-4"/>
          <w:w w:val="105"/>
          <w:sz w:val="18"/>
          <w:szCs w:val="18"/>
        </w:rPr>
        <w:t xml:space="preserve"> </w:t>
      </w:r>
      <w:r w:rsidRPr="00A5537B">
        <w:rPr>
          <w:color w:val="17365D" w:themeColor="text2" w:themeShade="BF"/>
          <w:w w:val="105"/>
          <w:sz w:val="18"/>
          <w:szCs w:val="18"/>
        </w:rPr>
        <w:t>from</w:t>
      </w:r>
      <w:r w:rsidRPr="00A5537B">
        <w:rPr>
          <w:color w:val="17365D" w:themeColor="text2" w:themeShade="BF"/>
          <w:spacing w:val="-6"/>
          <w:w w:val="105"/>
          <w:sz w:val="18"/>
          <w:szCs w:val="18"/>
        </w:rPr>
        <w:t xml:space="preserve"> </w:t>
      </w:r>
      <w:r w:rsidRPr="00A5537B">
        <w:rPr>
          <w:color w:val="17365D" w:themeColor="text2" w:themeShade="BF"/>
          <w:w w:val="105"/>
          <w:sz w:val="18"/>
          <w:szCs w:val="18"/>
        </w:rPr>
        <w:t>31</w:t>
      </w:r>
      <w:r w:rsidRPr="00A5537B">
        <w:rPr>
          <w:color w:val="17365D" w:themeColor="text2" w:themeShade="BF"/>
          <w:spacing w:val="-13"/>
          <w:w w:val="105"/>
          <w:sz w:val="18"/>
          <w:szCs w:val="18"/>
        </w:rPr>
        <w:t xml:space="preserve"> </w:t>
      </w:r>
      <w:r w:rsidRPr="00A5537B">
        <w:rPr>
          <w:color w:val="17365D" w:themeColor="text2" w:themeShade="BF"/>
          <w:w w:val="105"/>
          <w:sz w:val="18"/>
          <w:szCs w:val="18"/>
        </w:rPr>
        <w:t>October</w:t>
      </w:r>
      <w:r w:rsidRPr="00A5537B">
        <w:rPr>
          <w:color w:val="17365D" w:themeColor="text2" w:themeShade="BF"/>
          <w:spacing w:val="-3"/>
          <w:w w:val="105"/>
          <w:sz w:val="18"/>
          <w:szCs w:val="18"/>
        </w:rPr>
        <w:t xml:space="preserve"> </w:t>
      </w:r>
      <w:r w:rsidR="00A622A9" w:rsidRPr="00A5537B">
        <w:rPr>
          <w:color w:val="17365D" w:themeColor="text2" w:themeShade="BF"/>
          <w:w w:val="105"/>
          <w:sz w:val="18"/>
          <w:szCs w:val="18"/>
        </w:rPr>
        <w:t>2019</w:t>
      </w:r>
      <w:r w:rsidR="00A622A9">
        <w:rPr>
          <w:color w:val="17365D" w:themeColor="text2" w:themeShade="BF"/>
          <w:w w:val="105"/>
          <w:sz w:val="18"/>
          <w:szCs w:val="18"/>
        </w:rPr>
        <w:t>;</w:t>
      </w:r>
      <w:r w:rsidR="005E051C">
        <w:rPr>
          <w:color w:val="17365D" w:themeColor="text2" w:themeShade="BF"/>
          <w:w w:val="105"/>
          <w:sz w:val="18"/>
          <w:szCs w:val="18"/>
        </w:rPr>
        <w:t xml:space="preserve"> </w:t>
      </w:r>
      <w:r w:rsidR="00A622A9">
        <w:rPr>
          <w:color w:val="17365D" w:themeColor="text2" w:themeShade="BF"/>
          <w:w w:val="105"/>
          <w:sz w:val="18"/>
          <w:szCs w:val="18"/>
        </w:rPr>
        <w:t>however,</w:t>
      </w:r>
      <w:r w:rsidR="005E051C">
        <w:rPr>
          <w:color w:val="17365D" w:themeColor="text2" w:themeShade="BF"/>
          <w:w w:val="105"/>
          <w:sz w:val="18"/>
          <w:szCs w:val="18"/>
        </w:rPr>
        <w:t xml:space="preserve"> a</w:t>
      </w:r>
      <w:r w:rsidRPr="00AA5784">
        <w:rPr>
          <w:color w:val="17365D" w:themeColor="text2" w:themeShade="BF"/>
          <w:spacing w:val="-3"/>
          <w:w w:val="105"/>
          <w:sz w:val="18"/>
          <w:szCs w:val="18"/>
        </w:rPr>
        <w:t xml:space="preserve"> </w:t>
      </w:r>
      <w:r w:rsidRPr="00AA5784">
        <w:rPr>
          <w:color w:val="17365D" w:themeColor="text2" w:themeShade="BF"/>
          <w:w w:val="105"/>
          <w:sz w:val="18"/>
          <w:szCs w:val="18"/>
        </w:rPr>
        <w:t>transition</w:t>
      </w:r>
      <w:r w:rsidRPr="00AA5784">
        <w:rPr>
          <w:color w:val="17365D" w:themeColor="text2" w:themeShade="BF"/>
          <w:spacing w:val="-7"/>
          <w:w w:val="105"/>
          <w:sz w:val="18"/>
          <w:szCs w:val="18"/>
        </w:rPr>
        <w:t xml:space="preserve"> </w:t>
      </w:r>
      <w:r w:rsidRPr="00AA5784">
        <w:rPr>
          <w:color w:val="17365D" w:themeColor="text2" w:themeShade="BF"/>
          <w:w w:val="105"/>
          <w:sz w:val="18"/>
          <w:szCs w:val="18"/>
        </w:rPr>
        <w:t>period</w:t>
      </w:r>
      <w:r w:rsidRPr="00AA5784">
        <w:rPr>
          <w:color w:val="17365D" w:themeColor="text2" w:themeShade="BF"/>
          <w:spacing w:val="-5"/>
          <w:w w:val="105"/>
          <w:sz w:val="18"/>
          <w:szCs w:val="18"/>
        </w:rPr>
        <w:t xml:space="preserve"> </w:t>
      </w:r>
      <w:r w:rsidR="005E051C">
        <w:rPr>
          <w:color w:val="17365D" w:themeColor="text2" w:themeShade="BF"/>
          <w:w w:val="105"/>
          <w:sz w:val="18"/>
          <w:szCs w:val="18"/>
        </w:rPr>
        <w:t>wa</w:t>
      </w:r>
      <w:r w:rsidRPr="00AA5784">
        <w:rPr>
          <w:color w:val="17365D" w:themeColor="text2" w:themeShade="BF"/>
          <w:w w:val="105"/>
          <w:sz w:val="18"/>
          <w:szCs w:val="18"/>
        </w:rPr>
        <w:t>s provided</w:t>
      </w:r>
      <w:r w:rsidRPr="00AA5784">
        <w:rPr>
          <w:color w:val="17365D" w:themeColor="text2" w:themeShade="BF"/>
          <w:spacing w:val="-1"/>
          <w:w w:val="105"/>
          <w:sz w:val="18"/>
          <w:szCs w:val="18"/>
        </w:rPr>
        <w:t xml:space="preserve"> </w:t>
      </w:r>
      <w:r w:rsidRPr="00AA5784">
        <w:rPr>
          <w:color w:val="17365D" w:themeColor="text2" w:themeShade="BF"/>
          <w:w w:val="105"/>
          <w:sz w:val="18"/>
          <w:szCs w:val="18"/>
        </w:rPr>
        <w:t>to</w:t>
      </w:r>
      <w:r w:rsidRPr="00AA5784">
        <w:rPr>
          <w:color w:val="17365D" w:themeColor="text2" w:themeShade="BF"/>
          <w:spacing w:val="-14"/>
          <w:w w:val="105"/>
          <w:sz w:val="18"/>
          <w:szCs w:val="18"/>
        </w:rPr>
        <w:t xml:space="preserve"> </w:t>
      </w:r>
      <w:r w:rsidRPr="00AA5784">
        <w:rPr>
          <w:color w:val="17365D" w:themeColor="text2" w:themeShade="BF"/>
          <w:w w:val="105"/>
          <w:sz w:val="18"/>
          <w:szCs w:val="18"/>
        </w:rPr>
        <w:t>ensure</w:t>
      </w:r>
      <w:r w:rsidRPr="00AA5784">
        <w:rPr>
          <w:color w:val="17365D" w:themeColor="text2" w:themeShade="BF"/>
          <w:spacing w:val="-11"/>
          <w:w w:val="105"/>
          <w:sz w:val="18"/>
          <w:szCs w:val="18"/>
        </w:rPr>
        <w:t xml:space="preserve"> </w:t>
      </w:r>
      <w:r w:rsidRPr="00AA5784">
        <w:rPr>
          <w:color w:val="17365D" w:themeColor="text2" w:themeShade="BF"/>
          <w:w w:val="105"/>
          <w:sz w:val="18"/>
          <w:szCs w:val="18"/>
        </w:rPr>
        <w:t>prescribers</w:t>
      </w:r>
      <w:r w:rsidRPr="00AA5784">
        <w:rPr>
          <w:color w:val="17365D" w:themeColor="text2" w:themeShade="BF"/>
          <w:spacing w:val="2"/>
          <w:w w:val="105"/>
          <w:sz w:val="18"/>
          <w:szCs w:val="18"/>
        </w:rPr>
        <w:t xml:space="preserve"> </w:t>
      </w:r>
      <w:r w:rsidR="005E051C" w:rsidRPr="00AA5784">
        <w:rPr>
          <w:color w:val="17365D" w:themeColor="text2" w:themeShade="BF"/>
          <w:w w:val="105"/>
          <w:sz w:val="18"/>
          <w:szCs w:val="18"/>
        </w:rPr>
        <w:t>ha</w:t>
      </w:r>
      <w:r w:rsidR="005E051C">
        <w:rPr>
          <w:color w:val="17365D" w:themeColor="text2" w:themeShade="BF"/>
          <w:w w:val="105"/>
          <w:sz w:val="18"/>
          <w:szCs w:val="18"/>
        </w:rPr>
        <w:t>d</w:t>
      </w:r>
      <w:r w:rsidR="005E051C" w:rsidRPr="00AA5784">
        <w:rPr>
          <w:color w:val="17365D" w:themeColor="text2" w:themeShade="BF"/>
          <w:spacing w:val="-15"/>
          <w:w w:val="105"/>
          <w:sz w:val="18"/>
          <w:szCs w:val="18"/>
        </w:rPr>
        <w:t xml:space="preserve"> </w:t>
      </w:r>
      <w:r w:rsidRPr="00AA5784">
        <w:rPr>
          <w:color w:val="17365D" w:themeColor="text2" w:themeShade="BF"/>
          <w:w w:val="105"/>
          <w:sz w:val="18"/>
          <w:szCs w:val="18"/>
        </w:rPr>
        <w:t>sufficient time</w:t>
      </w:r>
      <w:r w:rsidRPr="00AA5784">
        <w:rPr>
          <w:color w:val="17365D" w:themeColor="text2" w:themeShade="BF"/>
          <w:spacing w:val="-13"/>
          <w:w w:val="105"/>
          <w:sz w:val="18"/>
          <w:szCs w:val="18"/>
        </w:rPr>
        <w:t xml:space="preserve"> </w:t>
      </w:r>
      <w:r w:rsidRPr="00AA5784">
        <w:rPr>
          <w:color w:val="17365D" w:themeColor="text2" w:themeShade="BF"/>
          <w:w w:val="105"/>
          <w:sz w:val="18"/>
          <w:szCs w:val="18"/>
        </w:rPr>
        <w:t>to</w:t>
      </w:r>
      <w:r w:rsidRPr="00AA5784">
        <w:rPr>
          <w:color w:val="17365D" w:themeColor="text2" w:themeShade="BF"/>
          <w:spacing w:val="-15"/>
          <w:w w:val="105"/>
          <w:sz w:val="18"/>
          <w:szCs w:val="18"/>
        </w:rPr>
        <w:t xml:space="preserve"> </w:t>
      </w:r>
      <w:r w:rsidRPr="00AA5784">
        <w:rPr>
          <w:color w:val="17365D" w:themeColor="text2" w:themeShade="BF"/>
          <w:w w:val="105"/>
          <w:sz w:val="18"/>
          <w:szCs w:val="18"/>
        </w:rPr>
        <w:t>update</w:t>
      </w:r>
      <w:r w:rsidRPr="00AA5784">
        <w:rPr>
          <w:color w:val="17365D" w:themeColor="text2" w:themeShade="BF"/>
          <w:spacing w:val="-6"/>
          <w:w w:val="105"/>
          <w:sz w:val="18"/>
          <w:szCs w:val="18"/>
        </w:rPr>
        <w:t xml:space="preserve"> </w:t>
      </w:r>
      <w:r w:rsidRPr="00AA5784">
        <w:rPr>
          <w:color w:val="17365D" w:themeColor="text2" w:themeShade="BF"/>
          <w:w w:val="105"/>
          <w:sz w:val="18"/>
          <w:szCs w:val="18"/>
        </w:rPr>
        <w:t>prescribing</w:t>
      </w:r>
      <w:r w:rsidRPr="00AA5784">
        <w:rPr>
          <w:color w:val="17365D" w:themeColor="text2" w:themeShade="BF"/>
          <w:spacing w:val="-1"/>
          <w:w w:val="105"/>
          <w:sz w:val="18"/>
          <w:szCs w:val="18"/>
        </w:rPr>
        <w:t xml:space="preserve"> </w:t>
      </w:r>
      <w:r w:rsidRPr="00AA5784">
        <w:rPr>
          <w:color w:val="17365D" w:themeColor="text2" w:themeShade="BF"/>
          <w:w w:val="105"/>
          <w:sz w:val="18"/>
          <w:szCs w:val="18"/>
        </w:rPr>
        <w:t>software</w:t>
      </w:r>
      <w:r w:rsidRPr="00AA5784">
        <w:rPr>
          <w:color w:val="17365D" w:themeColor="text2" w:themeShade="BF"/>
          <w:spacing w:val="-5"/>
          <w:w w:val="105"/>
          <w:sz w:val="18"/>
          <w:szCs w:val="18"/>
        </w:rPr>
        <w:t xml:space="preserve"> </w:t>
      </w:r>
      <w:r w:rsidRPr="00AA5784">
        <w:rPr>
          <w:color w:val="17365D" w:themeColor="text2" w:themeShade="BF"/>
          <w:w w:val="105"/>
          <w:sz w:val="18"/>
          <w:szCs w:val="18"/>
        </w:rPr>
        <w:t>to</w:t>
      </w:r>
      <w:r w:rsidRPr="00AA5784">
        <w:rPr>
          <w:color w:val="17365D" w:themeColor="text2" w:themeShade="BF"/>
          <w:spacing w:val="-12"/>
          <w:w w:val="105"/>
          <w:sz w:val="18"/>
          <w:szCs w:val="18"/>
        </w:rPr>
        <w:t xml:space="preserve"> </w:t>
      </w:r>
      <w:r w:rsidRPr="00AA5784">
        <w:rPr>
          <w:color w:val="17365D" w:themeColor="text2" w:themeShade="BF"/>
          <w:w w:val="105"/>
          <w:sz w:val="18"/>
          <w:szCs w:val="18"/>
        </w:rPr>
        <w:t>versions which meet the new active ingredient prescribing requirements.</w:t>
      </w:r>
      <w:r w:rsidR="005E48D3" w:rsidRPr="00AA5784">
        <w:rPr>
          <w:color w:val="17365D" w:themeColor="text2" w:themeShade="BF"/>
          <w:w w:val="105"/>
          <w:sz w:val="18"/>
          <w:szCs w:val="18"/>
        </w:rPr>
        <w:t xml:space="preserve"> </w:t>
      </w:r>
      <w:r w:rsidR="005E051C">
        <w:rPr>
          <w:color w:val="17365D" w:themeColor="text2" w:themeShade="BF"/>
          <w:w w:val="105"/>
          <w:sz w:val="18"/>
          <w:szCs w:val="18"/>
        </w:rPr>
        <w:t>Originally prescribing software was required to be compliant by 1 November 2020, however due to the significant additional workload within the clinical software industry due to the Australian Bushfires and COVID-19, this has been extended to 1 February 2021. The legislation was amended to reflect this change on 20 August 2020.</w:t>
      </w:r>
    </w:p>
    <w:p w14:paraId="15D019A6" w14:textId="77777777" w:rsidR="00161531" w:rsidRPr="00A5537B" w:rsidRDefault="00161531" w:rsidP="00161531">
      <w:pPr>
        <w:pStyle w:val="BodyText"/>
        <w:spacing w:line="252" w:lineRule="auto"/>
        <w:ind w:left="584" w:right="616" w:firstLine="5"/>
        <w:jc w:val="both"/>
        <w:rPr>
          <w:color w:val="17365D" w:themeColor="text2" w:themeShade="BF"/>
          <w:sz w:val="18"/>
          <w:szCs w:val="18"/>
        </w:rPr>
      </w:pPr>
      <w:r w:rsidRPr="00A5537B">
        <w:rPr>
          <w:color w:val="17365D" w:themeColor="text2" w:themeShade="BF"/>
          <w:w w:val="105"/>
          <w:sz w:val="18"/>
          <w:szCs w:val="18"/>
        </w:rPr>
        <w:t>Active Ingredient Prescribing is part of a wider government strategy to ensure consistent and standardised</w:t>
      </w:r>
      <w:r w:rsidRPr="00A5537B">
        <w:rPr>
          <w:color w:val="17365D" w:themeColor="text2" w:themeShade="BF"/>
          <w:spacing w:val="-6"/>
          <w:w w:val="105"/>
          <w:sz w:val="18"/>
          <w:szCs w:val="18"/>
        </w:rPr>
        <w:t xml:space="preserve"> </w:t>
      </w:r>
      <w:r w:rsidRPr="00A5537B">
        <w:rPr>
          <w:color w:val="17365D" w:themeColor="text2" w:themeShade="BF"/>
          <w:w w:val="105"/>
          <w:sz w:val="18"/>
          <w:szCs w:val="18"/>
        </w:rPr>
        <w:t>medicines</w:t>
      </w:r>
      <w:r w:rsidRPr="00A5537B">
        <w:rPr>
          <w:color w:val="17365D" w:themeColor="text2" w:themeShade="BF"/>
          <w:spacing w:val="-10"/>
          <w:w w:val="105"/>
          <w:sz w:val="18"/>
          <w:szCs w:val="18"/>
        </w:rPr>
        <w:t xml:space="preserve"> </w:t>
      </w:r>
      <w:r w:rsidRPr="00A5537B">
        <w:rPr>
          <w:color w:val="17365D" w:themeColor="text2" w:themeShade="BF"/>
          <w:w w:val="105"/>
          <w:sz w:val="18"/>
          <w:szCs w:val="18"/>
        </w:rPr>
        <w:t>information.</w:t>
      </w:r>
      <w:r w:rsidRPr="00A5537B">
        <w:rPr>
          <w:color w:val="17365D" w:themeColor="text2" w:themeShade="BF"/>
          <w:spacing w:val="-11"/>
          <w:w w:val="105"/>
          <w:sz w:val="18"/>
          <w:szCs w:val="18"/>
        </w:rPr>
        <w:t xml:space="preserve"> </w:t>
      </w:r>
      <w:r w:rsidRPr="00A5537B">
        <w:rPr>
          <w:color w:val="17365D" w:themeColor="text2" w:themeShade="BF"/>
          <w:w w:val="105"/>
          <w:sz w:val="18"/>
          <w:szCs w:val="18"/>
        </w:rPr>
        <w:t>Presentation</w:t>
      </w:r>
      <w:r w:rsidRPr="00A5537B">
        <w:rPr>
          <w:color w:val="17365D" w:themeColor="text2" w:themeShade="BF"/>
          <w:spacing w:val="-5"/>
          <w:w w:val="105"/>
          <w:sz w:val="18"/>
          <w:szCs w:val="18"/>
        </w:rPr>
        <w:t xml:space="preserve"> </w:t>
      </w:r>
      <w:r w:rsidRPr="00A5537B">
        <w:rPr>
          <w:color w:val="17365D" w:themeColor="text2" w:themeShade="BF"/>
          <w:w w:val="105"/>
          <w:sz w:val="18"/>
          <w:szCs w:val="18"/>
        </w:rPr>
        <w:t>of</w:t>
      </w:r>
      <w:r w:rsidRPr="00A5537B">
        <w:rPr>
          <w:color w:val="17365D" w:themeColor="text2" w:themeShade="BF"/>
          <w:spacing w:val="-22"/>
          <w:w w:val="105"/>
          <w:sz w:val="18"/>
          <w:szCs w:val="18"/>
        </w:rPr>
        <w:t xml:space="preserve"> </w:t>
      </w:r>
      <w:r w:rsidRPr="00A5537B">
        <w:rPr>
          <w:color w:val="17365D" w:themeColor="text2" w:themeShade="BF"/>
          <w:w w:val="105"/>
          <w:sz w:val="18"/>
          <w:szCs w:val="18"/>
        </w:rPr>
        <w:t>the</w:t>
      </w:r>
      <w:r w:rsidRPr="00A5537B">
        <w:rPr>
          <w:color w:val="17365D" w:themeColor="text2" w:themeShade="BF"/>
          <w:spacing w:val="-26"/>
          <w:w w:val="105"/>
          <w:sz w:val="18"/>
          <w:szCs w:val="18"/>
        </w:rPr>
        <w:t xml:space="preserve"> </w:t>
      </w:r>
      <w:r w:rsidRPr="00A5537B">
        <w:rPr>
          <w:color w:val="17365D" w:themeColor="text2" w:themeShade="BF"/>
          <w:w w:val="105"/>
          <w:sz w:val="18"/>
          <w:szCs w:val="18"/>
        </w:rPr>
        <w:t>active</w:t>
      </w:r>
      <w:r w:rsidRPr="00A5537B">
        <w:rPr>
          <w:color w:val="17365D" w:themeColor="text2" w:themeShade="BF"/>
          <w:spacing w:val="-26"/>
          <w:w w:val="105"/>
          <w:sz w:val="18"/>
          <w:szCs w:val="18"/>
        </w:rPr>
        <w:t xml:space="preserve"> </w:t>
      </w:r>
      <w:r w:rsidRPr="00A5537B">
        <w:rPr>
          <w:color w:val="17365D" w:themeColor="text2" w:themeShade="BF"/>
          <w:w w:val="105"/>
          <w:sz w:val="18"/>
          <w:szCs w:val="18"/>
        </w:rPr>
        <w:t>ingredient</w:t>
      </w:r>
      <w:r w:rsidRPr="00A5537B">
        <w:rPr>
          <w:color w:val="17365D" w:themeColor="text2" w:themeShade="BF"/>
          <w:spacing w:val="-9"/>
          <w:w w:val="105"/>
          <w:sz w:val="18"/>
          <w:szCs w:val="18"/>
        </w:rPr>
        <w:t xml:space="preserve"> </w:t>
      </w:r>
      <w:r w:rsidRPr="00A5537B">
        <w:rPr>
          <w:color w:val="17365D" w:themeColor="text2" w:themeShade="BF"/>
          <w:w w:val="105"/>
          <w:sz w:val="18"/>
          <w:szCs w:val="18"/>
        </w:rPr>
        <w:t>name</w:t>
      </w:r>
      <w:r w:rsidRPr="00A5537B">
        <w:rPr>
          <w:color w:val="17365D" w:themeColor="text2" w:themeShade="BF"/>
          <w:spacing w:val="-23"/>
          <w:w w:val="105"/>
          <w:sz w:val="18"/>
          <w:szCs w:val="18"/>
        </w:rPr>
        <w:t xml:space="preserve"> </w:t>
      </w:r>
      <w:r w:rsidRPr="00A5537B">
        <w:rPr>
          <w:color w:val="17365D" w:themeColor="text2" w:themeShade="BF"/>
          <w:w w:val="105"/>
          <w:sz w:val="18"/>
          <w:szCs w:val="18"/>
        </w:rPr>
        <w:t>in</w:t>
      </w:r>
      <w:r w:rsidRPr="00A5537B">
        <w:rPr>
          <w:color w:val="17365D" w:themeColor="text2" w:themeShade="BF"/>
          <w:spacing w:val="-17"/>
          <w:w w:val="105"/>
          <w:sz w:val="18"/>
          <w:szCs w:val="18"/>
        </w:rPr>
        <w:t xml:space="preserve"> </w:t>
      </w:r>
      <w:r w:rsidRPr="00A5537B">
        <w:rPr>
          <w:color w:val="17365D" w:themeColor="text2" w:themeShade="BF"/>
          <w:w w:val="105"/>
          <w:sz w:val="18"/>
          <w:szCs w:val="18"/>
        </w:rPr>
        <w:t>all</w:t>
      </w:r>
      <w:r w:rsidRPr="00A5537B">
        <w:rPr>
          <w:color w:val="17365D" w:themeColor="text2" w:themeShade="BF"/>
          <w:spacing w:val="-19"/>
          <w:w w:val="105"/>
          <w:sz w:val="18"/>
          <w:szCs w:val="18"/>
        </w:rPr>
        <w:t xml:space="preserve"> </w:t>
      </w:r>
      <w:r w:rsidRPr="00A5537B">
        <w:rPr>
          <w:color w:val="17365D" w:themeColor="text2" w:themeShade="BF"/>
          <w:w w:val="105"/>
          <w:sz w:val="18"/>
          <w:szCs w:val="18"/>
        </w:rPr>
        <w:t>places</w:t>
      </w:r>
      <w:r w:rsidRPr="00A5537B">
        <w:rPr>
          <w:color w:val="17365D" w:themeColor="text2" w:themeShade="BF"/>
          <w:spacing w:val="-20"/>
          <w:w w:val="105"/>
          <w:sz w:val="18"/>
          <w:szCs w:val="18"/>
        </w:rPr>
        <w:t xml:space="preserve"> </w:t>
      </w:r>
      <w:r w:rsidRPr="00A5537B">
        <w:rPr>
          <w:color w:val="17365D" w:themeColor="text2" w:themeShade="BF"/>
          <w:w w:val="105"/>
          <w:sz w:val="18"/>
          <w:szCs w:val="18"/>
        </w:rPr>
        <w:t>where the consumer accesses medicines information is central to medication safety and this broader government strategy. The implementation of active ingredient prescribing is also identified as a joint</w:t>
      </w:r>
      <w:r w:rsidRPr="00A5537B">
        <w:rPr>
          <w:color w:val="17365D" w:themeColor="text2" w:themeShade="BF"/>
          <w:spacing w:val="-5"/>
          <w:w w:val="105"/>
          <w:sz w:val="18"/>
          <w:szCs w:val="18"/>
        </w:rPr>
        <w:t xml:space="preserve"> </w:t>
      </w:r>
      <w:r w:rsidRPr="00A5537B">
        <w:rPr>
          <w:color w:val="17365D" w:themeColor="text2" w:themeShade="BF"/>
          <w:w w:val="105"/>
          <w:sz w:val="18"/>
          <w:szCs w:val="18"/>
        </w:rPr>
        <w:t>commitment</w:t>
      </w:r>
      <w:r w:rsidRPr="00A5537B">
        <w:rPr>
          <w:color w:val="17365D" w:themeColor="text2" w:themeShade="BF"/>
          <w:spacing w:val="-2"/>
          <w:w w:val="105"/>
          <w:sz w:val="18"/>
          <w:szCs w:val="18"/>
        </w:rPr>
        <w:t xml:space="preserve"> </w:t>
      </w:r>
      <w:r w:rsidRPr="00A5537B">
        <w:rPr>
          <w:color w:val="17365D" w:themeColor="text2" w:themeShade="BF"/>
          <w:w w:val="105"/>
          <w:sz w:val="18"/>
          <w:szCs w:val="18"/>
        </w:rPr>
        <w:t>in</w:t>
      </w:r>
      <w:r w:rsidRPr="00A5537B">
        <w:rPr>
          <w:color w:val="17365D" w:themeColor="text2" w:themeShade="BF"/>
          <w:spacing w:val="-7"/>
          <w:w w:val="105"/>
          <w:sz w:val="18"/>
          <w:szCs w:val="18"/>
        </w:rPr>
        <w:t xml:space="preserve"> </w:t>
      </w:r>
      <w:r w:rsidRPr="00A5537B">
        <w:rPr>
          <w:color w:val="17365D" w:themeColor="text2" w:themeShade="BF"/>
          <w:w w:val="105"/>
          <w:sz w:val="18"/>
          <w:szCs w:val="18"/>
        </w:rPr>
        <w:t>the</w:t>
      </w:r>
      <w:r w:rsidRPr="00A5537B">
        <w:rPr>
          <w:color w:val="17365D" w:themeColor="text2" w:themeShade="BF"/>
          <w:spacing w:val="-12"/>
          <w:w w:val="105"/>
          <w:sz w:val="18"/>
          <w:szCs w:val="18"/>
        </w:rPr>
        <w:t xml:space="preserve"> </w:t>
      </w:r>
      <w:r w:rsidRPr="00A5537B">
        <w:rPr>
          <w:color w:val="17365D" w:themeColor="text2" w:themeShade="BF"/>
          <w:w w:val="105"/>
          <w:sz w:val="18"/>
          <w:szCs w:val="18"/>
        </w:rPr>
        <w:t>Department</w:t>
      </w:r>
      <w:r w:rsidRPr="00A5537B">
        <w:rPr>
          <w:color w:val="17365D" w:themeColor="text2" w:themeShade="BF"/>
          <w:spacing w:val="-5"/>
          <w:w w:val="105"/>
          <w:sz w:val="18"/>
          <w:szCs w:val="18"/>
        </w:rPr>
        <w:t xml:space="preserve"> </w:t>
      </w:r>
      <w:r w:rsidRPr="00A5537B">
        <w:rPr>
          <w:color w:val="17365D" w:themeColor="text2" w:themeShade="BF"/>
          <w:w w:val="105"/>
          <w:sz w:val="18"/>
          <w:szCs w:val="18"/>
        </w:rPr>
        <w:t>of</w:t>
      </w:r>
      <w:r w:rsidRPr="00A5537B">
        <w:rPr>
          <w:color w:val="17365D" w:themeColor="text2" w:themeShade="BF"/>
          <w:spacing w:val="-10"/>
          <w:w w:val="105"/>
          <w:sz w:val="18"/>
          <w:szCs w:val="18"/>
        </w:rPr>
        <w:t xml:space="preserve"> </w:t>
      </w:r>
      <w:r w:rsidRPr="00A5537B">
        <w:rPr>
          <w:color w:val="17365D" w:themeColor="text2" w:themeShade="BF"/>
          <w:w w:val="105"/>
          <w:sz w:val="18"/>
          <w:szCs w:val="18"/>
        </w:rPr>
        <w:t>Health's</w:t>
      </w:r>
      <w:r w:rsidRPr="00A5537B">
        <w:rPr>
          <w:color w:val="17365D" w:themeColor="text2" w:themeShade="BF"/>
          <w:spacing w:val="-8"/>
          <w:w w:val="105"/>
          <w:sz w:val="18"/>
          <w:szCs w:val="18"/>
        </w:rPr>
        <w:t xml:space="preserve"> </w:t>
      </w:r>
      <w:r w:rsidRPr="00A5537B">
        <w:rPr>
          <w:color w:val="17365D" w:themeColor="text2" w:themeShade="BF"/>
          <w:w w:val="105"/>
          <w:sz w:val="18"/>
          <w:szCs w:val="18"/>
        </w:rPr>
        <w:t>2017</w:t>
      </w:r>
      <w:r w:rsidRPr="00A5537B">
        <w:rPr>
          <w:color w:val="17365D" w:themeColor="text2" w:themeShade="BF"/>
          <w:spacing w:val="-13"/>
          <w:w w:val="105"/>
          <w:sz w:val="18"/>
          <w:szCs w:val="18"/>
        </w:rPr>
        <w:t xml:space="preserve"> </w:t>
      </w:r>
      <w:r w:rsidRPr="00A5537B">
        <w:rPr>
          <w:color w:val="17365D" w:themeColor="text2" w:themeShade="BF"/>
          <w:w w:val="105"/>
          <w:sz w:val="18"/>
          <w:szCs w:val="18"/>
        </w:rPr>
        <w:t>Strategic</w:t>
      </w:r>
      <w:r w:rsidRPr="00A5537B">
        <w:rPr>
          <w:color w:val="17365D" w:themeColor="text2" w:themeShade="BF"/>
          <w:spacing w:val="-4"/>
          <w:w w:val="105"/>
          <w:sz w:val="18"/>
          <w:szCs w:val="18"/>
        </w:rPr>
        <w:t xml:space="preserve"> </w:t>
      </w:r>
      <w:r w:rsidRPr="00A5537B">
        <w:rPr>
          <w:color w:val="17365D" w:themeColor="text2" w:themeShade="BF"/>
          <w:w w:val="105"/>
          <w:sz w:val="18"/>
          <w:szCs w:val="18"/>
        </w:rPr>
        <w:t>Agreements</w:t>
      </w:r>
      <w:r w:rsidRPr="00A5537B">
        <w:rPr>
          <w:color w:val="17365D" w:themeColor="text2" w:themeShade="BF"/>
          <w:spacing w:val="-5"/>
          <w:w w:val="105"/>
          <w:sz w:val="18"/>
          <w:szCs w:val="18"/>
        </w:rPr>
        <w:t xml:space="preserve"> </w:t>
      </w:r>
      <w:r w:rsidRPr="00A5537B">
        <w:rPr>
          <w:color w:val="17365D" w:themeColor="text2" w:themeShade="BF"/>
          <w:w w:val="105"/>
          <w:sz w:val="18"/>
          <w:szCs w:val="18"/>
        </w:rPr>
        <w:t>with</w:t>
      </w:r>
      <w:r w:rsidRPr="00A5537B">
        <w:rPr>
          <w:color w:val="17365D" w:themeColor="text2" w:themeShade="BF"/>
          <w:spacing w:val="-13"/>
          <w:w w:val="105"/>
          <w:sz w:val="18"/>
          <w:szCs w:val="18"/>
        </w:rPr>
        <w:t xml:space="preserve"> </w:t>
      </w:r>
      <w:r w:rsidRPr="00A5537B">
        <w:rPr>
          <w:color w:val="17365D" w:themeColor="text2" w:themeShade="BF"/>
          <w:w w:val="105"/>
          <w:sz w:val="18"/>
          <w:szCs w:val="18"/>
        </w:rPr>
        <w:t>the</w:t>
      </w:r>
      <w:r w:rsidRPr="00A5537B">
        <w:rPr>
          <w:color w:val="17365D" w:themeColor="text2" w:themeShade="BF"/>
          <w:spacing w:val="-16"/>
          <w:w w:val="105"/>
          <w:sz w:val="18"/>
          <w:szCs w:val="18"/>
        </w:rPr>
        <w:t xml:space="preserve"> </w:t>
      </w:r>
      <w:r w:rsidRPr="00A5537B">
        <w:rPr>
          <w:color w:val="17365D" w:themeColor="text2" w:themeShade="BF"/>
          <w:w w:val="105"/>
          <w:sz w:val="18"/>
          <w:szCs w:val="18"/>
        </w:rPr>
        <w:t>Generic</w:t>
      </w:r>
      <w:r w:rsidRPr="00A5537B">
        <w:rPr>
          <w:color w:val="17365D" w:themeColor="text2" w:themeShade="BF"/>
          <w:spacing w:val="-9"/>
          <w:w w:val="105"/>
          <w:sz w:val="18"/>
          <w:szCs w:val="18"/>
        </w:rPr>
        <w:t xml:space="preserve"> </w:t>
      </w:r>
      <w:r w:rsidRPr="00A5537B">
        <w:rPr>
          <w:color w:val="17365D" w:themeColor="text2" w:themeShade="BF"/>
          <w:w w:val="105"/>
          <w:sz w:val="18"/>
          <w:szCs w:val="18"/>
        </w:rPr>
        <w:t>and Biosimilar Medicines Association and Medicines</w:t>
      </w:r>
      <w:r w:rsidRPr="00A5537B">
        <w:rPr>
          <w:color w:val="17365D" w:themeColor="text2" w:themeShade="BF"/>
          <w:spacing w:val="30"/>
          <w:w w:val="105"/>
          <w:sz w:val="18"/>
          <w:szCs w:val="18"/>
        </w:rPr>
        <w:t xml:space="preserve"> </w:t>
      </w:r>
      <w:r w:rsidRPr="00A5537B">
        <w:rPr>
          <w:color w:val="17365D" w:themeColor="text2" w:themeShade="BF"/>
          <w:w w:val="105"/>
          <w:sz w:val="18"/>
          <w:szCs w:val="18"/>
        </w:rPr>
        <w:t>Australia.</w:t>
      </w:r>
    </w:p>
    <w:p w14:paraId="6B74BCA2" w14:textId="77777777" w:rsidR="00161531" w:rsidRPr="00A5537B" w:rsidRDefault="00161531" w:rsidP="00161531">
      <w:pPr>
        <w:pStyle w:val="BodyText"/>
        <w:spacing w:line="252" w:lineRule="auto"/>
        <w:ind w:left="589" w:right="614" w:hanging="5"/>
        <w:jc w:val="both"/>
        <w:rPr>
          <w:color w:val="17365D" w:themeColor="text2" w:themeShade="BF"/>
          <w:w w:val="105"/>
          <w:sz w:val="18"/>
          <w:szCs w:val="18"/>
        </w:rPr>
      </w:pPr>
      <w:r w:rsidRPr="00A5537B">
        <w:rPr>
          <w:color w:val="17365D" w:themeColor="text2" w:themeShade="BF"/>
          <w:w w:val="105"/>
          <w:sz w:val="18"/>
          <w:szCs w:val="18"/>
        </w:rPr>
        <w:t>The</w:t>
      </w:r>
      <w:r w:rsidRPr="00A5537B">
        <w:rPr>
          <w:color w:val="17365D" w:themeColor="text2" w:themeShade="BF"/>
          <w:spacing w:val="-31"/>
          <w:w w:val="105"/>
          <w:sz w:val="18"/>
          <w:szCs w:val="18"/>
        </w:rPr>
        <w:t xml:space="preserve"> </w:t>
      </w:r>
      <w:r w:rsidRPr="00A5537B">
        <w:rPr>
          <w:color w:val="17365D" w:themeColor="text2" w:themeShade="BF"/>
          <w:w w:val="105"/>
          <w:sz w:val="18"/>
          <w:szCs w:val="18"/>
        </w:rPr>
        <w:t>Department</w:t>
      </w:r>
      <w:r w:rsidRPr="00A5537B">
        <w:rPr>
          <w:color w:val="17365D" w:themeColor="text2" w:themeShade="BF"/>
          <w:spacing w:val="-10"/>
          <w:w w:val="105"/>
          <w:sz w:val="18"/>
          <w:szCs w:val="18"/>
        </w:rPr>
        <w:t xml:space="preserve"> </w:t>
      </w:r>
      <w:r w:rsidRPr="00A5537B">
        <w:rPr>
          <w:color w:val="17365D" w:themeColor="text2" w:themeShade="BF"/>
          <w:w w:val="105"/>
          <w:sz w:val="18"/>
          <w:szCs w:val="18"/>
        </w:rPr>
        <w:t>of</w:t>
      </w:r>
      <w:r w:rsidRPr="00A5537B">
        <w:rPr>
          <w:color w:val="17365D" w:themeColor="text2" w:themeShade="BF"/>
          <w:spacing w:val="-26"/>
          <w:w w:val="105"/>
          <w:sz w:val="18"/>
          <w:szCs w:val="18"/>
        </w:rPr>
        <w:t xml:space="preserve"> </w:t>
      </w:r>
      <w:r w:rsidRPr="00A5537B">
        <w:rPr>
          <w:color w:val="17365D" w:themeColor="text2" w:themeShade="BF"/>
          <w:w w:val="105"/>
          <w:sz w:val="18"/>
          <w:szCs w:val="18"/>
        </w:rPr>
        <w:t>Health</w:t>
      </w:r>
      <w:r w:rsidRPr="00A5537B">
        <w:rPr>
          <w:color w:val="17365D" w:themeColor="text2" w:themeShade="BF"/>
          <w:spacing w:val="-20"/>
          <w:w w:val="105"/>
          <w:sz w:val="18"/>
          <w:szCs w:val="18"/>
        </w:rPr>
        <w:t xml:space="preserve"> </w:t>
      </w:r>
      <w:r w:rsidRPr="00A5537B">
        <w:rPr>
          <w:color w:val="17365D" w:themeColor="text2" w:themeShade="BF"/>
          <w:w w:val="105"/>
          <w:sz w:val="18"/>
          <w:szCs w:val="18"/>
        </w:rPr>
        <w:t>engaged</w:t>
      </w:r>
      <w:r w:rsidRPr="00A5537B">
        <w:rPr>
          <w:color w:val="17365D" w:themeColor="text2" w:themeShade="BF"/>
          <w:spacing w:val="-18"/>
          <w:w w:val="105"/>
          <w:sz w:val="18"/>
          <w:szCs w:val="18"/>
        </w:rPr>
        <w:t xml:space="preserve"> </w:t>
      </w:r>
      <w:r w:rsidRPr="00A5537B">
        <w:rPr>
          <w:color w:val="17365D" w:themeColor="text2" w:themeShade="BF"/>
          <w:w w:val="105"/>
          <w:sz w:val="18"/>
          <w:szCs w:val="18"/>
        </w:rPr>
        <w:t>in</w:t>
      </w:r>
      <w:r w:rsidRPr="00A5537B">
        <w:rPr>
          <w:color w:val="17365D" w:themeColor="text2" w:themeShade="BF"/>
          <w:spacing w:val="-22"/>
          <w:w w:val="105"/>
          <w:sz w:val="18"/>
          <w:szCs w:val="18"/>
        </w:rPr>
        <w:t xml:space="preserve"> </w:t>
      </w:r>
      <w:r w:rsidRPr="00A5537B">
        <w:rPr>
          <w:color w:val="17365D" w:themeColor="text2" w:themeShade="BF"/>
          <w:w w:val="105"/>
          <w:sz w:val="18"/>
          <w:szCs w:val="18"/>
        </w:rPr>
        <w:t>extensive</w:t>
      </w:r>
      <w:r w:rsidRPr="00A5537B">
        <w:rPr>
          <w:color w:val="17365D" w:themeColor="text2" w:themeShade="BF"/>
          <w:spacing w:val="-22"/>
          <w:w w:val="105"/>
          <w:sz w:val="18"/>
          <w:szCs w:val="18"/>
        </w:rPr>
        <w:t xml:space="preserve"> </w:t>
      </w:r>
      <w:r w:rsidRPr="00A5537B">
        <w:rPr>
          <w:color w:val="17365D" w:themeColor="text2" w:themeShade="BF"/>
          <w:w w:val="105"/>
          <w:sz w:val="18"/>
          <w:szCs w:val="18"/>
        </w:rPr>
        <w:t>consultation</w:t>
      </w:r>
      <w:r w:rsidRPr="00A5537B">
        <w:rPr>
          <w:color w:val="17365D" w:themeColor="text2" w:themeShade="BF"/>
          <w:spacing w:val="-18"/>
          <w:w w:val="105"/>
          <w:sz w:val="18"/>
          <w:szCs w:val="18"/>
        </w:rPr>
        <w:t xml:space="preserve"> </w:t>
      </w:r>
      <w:r w:rsidRPr="00A5537B">
        <w:rPr>
          <w:color w:val="17365D" w:themeColor="text2" w:themeShade="BF"/>
          <w:w w:val="105"/>
          <w:sz w:val="18"/>
          <w:szCs w:val="18"/>
        </w:rPr>
        <w:t>with</w:t>
      </w:r>
      <w:r w:rsidRPr="00A5537B">
        <w:rPr>
          <w:color w:val="17365D" w:themeColor="text2" w:themeShade="BF"/>
          <w:spacing w:val="-23"/>
          <w:w w:val="105"/>
          <w:sz w:val="18"/>
          <w:szCs w:val="18"/>
        </w:rPr>
        <w:t xml:space="preserve"> </w:t>
      </w:r>
      <w:r w:rsidRPr="00A5537B">
        <w:rPr>
          <w:color w:val="17365D" w:themeColor="text2" w:themeShade="BF"/>
          <w:w w:val="105"/>
          <w:sz w:val="18"/>
          <w:szCs w:val="18"/>
        </w:rPr>
        <w:t>peak</w:t>
      </w:r>
      <w:r w:rsidRPr="00A5537B">
        <w:rPr>
          <w:color w:val="17365D" w:themeColor="text2" w:themeShade="BF"/>
          <w:spacing w:val="-26"/>
          <w:w w:val="105"/>
          <w:sz w:val="18"/>
          <w:szCs w:val="18"/>
        </w:rPr>
        <w:t xml:space="preserve"> </w:t>
      </w:r>
      <w:r w:rsidRPr="00A5537B">
        <w:rPr>
          <w:color w:val="17365D" w:themeColor="text2" w:themeShade="BF"/>
          <w:w w:val="105"/>
          <w:sz w:val="18"/>
          <w:szCs w:val="18"/>
        </w:rPr>
        <w:t>clinical</w:t>
      </w:r>
      <w:r w:rsidRPr="00A5537B">
        <w:rPr>
          <w:color w:val="17365D" w:themeColor="text2" w:themeShade="BF"/>
          <w:spacing w:val="-20"/>
          <w:w w:val="105"/>
          <w:sz w:val="18"/>
          <w:szCs w:val="18"/>
        </w:rPr>
        <w:t xml:space="preserve"> </w:t>
      </w:r>
      <w:r w:rsidRPr="00A5537B">
        <w:rPr>
          <w:color w:val="17365D" w:themeColor="text2" w:themeShade="BF"/>
          <w:w w:val="105"/>
          <w:sz w:val="18"/>
          <w:szCs w:val="18"/>
        </w:rPr>
        <w:t>and</w:t>
      </w:r>
      <w:r w:rsidRPr="00A5537B">
        <w:rPr>
          <w:color w:val="17365D" w:themeColor="text2" w:themeShade="BF"/>
          <w:spacing w:val="-23"/>
          <w:w w:val="105"/>
          <w:sz w:val="18"/>
          <w:szCs w:val="18"/>
        </w:rPr>
        <w:t xml:space="preserve"> </w:t>
      </w:r>
      <w:r w:rsidRPr="00A5537B">
        <w:rPr>
          <w:color w:val="17365D" w:themeColor="text2" w:themeShade="BF"/>
          <w:w w:val="105"/>
          <w:sz w:val="18"/>
          <w:szCs w:val="18"/>
        </w:rPr>
        <w:t>industry</w:t>
      </w:r>
      <w:r w:rsidRPr="00A5537B">
        <w:rPr>
          <w:color w:val="17365D" w:themeColor="text2" w:themeShade="BF"/>
          <w:spacing w:val="-24"/>
          <w:w w:val="105"/>
          <w:sz w:val="18"/>
          <w:szCs w:val="18"/>
        </w:rPr>
        <w:t xml:space="preserve"> </w:t>
      </w:r>
      <w:r w:rsidRPr="00A5537B">
        <w:rPr>
          <w:color w:val="17365D" w:themeColor="text2" w:themeShade="BF"/>
          <w:w w:val="105"/>
          <w:sz w:val="18"/>
          <w:szCs w:val="18"/>
        </w:rPr>
        <w:t>bodies regarding the implementation of active ingredient prescribing. The Department developed the active</w:t>
      </w:r>
      <w:r w:rsidRPr="00A5537B">
        <w:rPr>
          <w:color w:val="17365D" w:themeColor="text2" w:themeShade="BF"/>
          <w:spacing w:val="-27"/>
          <w:w w:val="105"/>
          <w:sz w:val="18"/>
          <w:szCs w:val="18"/>
        </w:rPr>
        <w:t xml:space="preserve"> </w:t>
      </w:r>
      <w:r w:rsidRPr="00A5537B">
        <w:rPr>
          <w:color w:val="17365D" w:themeColor="text2" w:themeShade="BF"/>
          <w:w w:val="105"/>
          <w:sz w:val="18"/>
          <w:szCs w:val="18"/>
        </w:rPr>
        <w:t>ingredient</w:t>
      </w:r>
      <w:r w:rsidRPr="00A5537B">
        <w:rPr>
          <w:color w:val="17365D" w:themeColor="text2" w:themeShade="BF"/>
          <w:spacing w:val="-12"/>
          <w:w w:val="105"/>
          <w:sz w:val="18"/>
          <w:szCs w:val="18"/>
        </w:rPr>
        <w:t xml:space="preserve"> </w:t>
      </w:r>
      <w:r w:rsidRPr="00A5537B">
        <w:rPr>
          <w:color w:val="17365D" w:themeColor="text2" w:themeShade="BF"/>
          <w:w w:val="105"/>
          <w:sz w:val="18"/>
          <w:szCs w:val="18"/>
        </w:rPr>
        <w:t>prescribing</w:t>
      </w:r>
      <w:r w:rsidRPr="00A5537B">
        <w:rPr>
          <w:color w:val="17365D" w:themeColor="text2" w:themeShade="BF"/>
          <w:spacing w:val="-13"/>
          <w:w w:val="105"/>
          <w:sz w:val="18"/>
          <w:szCs w:val="18"/>
        </w:rPr>
        <w:t xml:space="preserve"> </w:t>
      </w:r>
      <w:r w:rsidRPr="00A5537B">
        <w:rPr>
          <w:color w:val="17365D" w:themeColor="text2" w:themeShade="BF"/>
          <w:w w:val="105"/>
          <w:sz w:val="18"/>
          <w:szCs w:val="18"/>
        </w:rPr>
        <w:t>implementation</w:t>
      </w:r>
      <w:r w:rsidRPr="00A5537B">
        <w:rPr>
          <w:color w:val="17365D" w:themeColor="text2" w:themeShade="BF"/>
          <w:spacing w:val="-29"/>
          <w:w w:val="105"/>
          <w:sz w:val="18"/>
          <w:szCs w:val="18"/>
        </w:rPr>
        <w:t xml:space="preserve"> </w:t>
      </w:r>
      <w:r w:rsidRPr="00A5537B">
        <w:rPr>
          <w:color w:val="17365D" w:themeColor="text2" w:themeShade="BF"/>
          <w:w w:val="105"/>
          <w:sz w:val="18"/>
          <w:szCs w:val="18"/>
        </w:rPr>
        <w:t>strategy</w:t>
      </w:r>
      <w:r w:rsidRPr="00A5537B">
        <w:rPr>
          <w:color w:val="17365D" w:themeColor="text2" w:themeShade="BF"/>
          <w:spacing w:val="-25"/>
          <w:w w:val="105"/>
          <w:sz w:val="18"/>
          <w:szCs w:val="18"/>
        </w:rPr>
        <w:t xml:space="preserve"> </w:t>
      </w:r>
      <w:r w:rsidRPr="00A5537B">
        <w:rPr>
          <w:color w:val="17365D" w:themeColor="text2" w:themeShade="BF"/>
          <w:w w:val="105"/>
          <w:sz w:val="18"/>
          <w:szCs w:val="18"/>
        </w:rPr>
        <w:t>through</w:t>
      </w:r>
      <w:r w:rsidRPr="00A5537B">
        <w:rPr>
          <w:color w:val="17365D" w:themeColor="text2" w:themeShade="BF"/>
          <w:spacing w:val="-18"/>
          <w:w w:val="105"/>
          <w:sz w:val="18"/>
          <w:szCs w:val="18"/>
        </w:rPr>
        <w:t xml:space="preserve"> </w:t>
      </w:r>
      <w:r w:rsidRPr="00A5537B">
        <w:rPr>
          <w:color w:val="17365D" w:themeColor="text2" w:themeShade="BF"/>
          <w:w w:val="105"/>
          <w:sz w:val="18"/>
          <w:szCs w:val="18"/>
        </w:rPr>
        <w:t>a</w:t>
      </w:r>
      <w:r w:rsidRPr="00A5537B">
        <w:rPr>
          <w:color w:val="17365D" w:themeColor="text2" w:themeShade="BF"/>
          <w:spacing w:val="-19"/>
          <w:w w:val="105"/>
          <w:sz w:val="18"/>
          <w:szCs w:val="18"/>
        </w:rPr>
        <w:t xml:space="preserve"> </w:t>
      </w:r>
      <w:r w:rsidRPr="00A5537B">
        <w:rPr>
          <w:color w:val="17365D" w:themeColor="text2" w:themeShade="BF"/>
          <w:w w:val="105"/>
          <w:sz w:val="18"/>
          <w:szCs w:val="18"/>
        </w:rPr>
        <w:t>co-design</w:t>
      </w:r>
      <w:r w:rsidRPr="00A5537B">
        <w:rPr>
          <w:color w:val="17365D" w:themeColor="text2" w:themeShade="BF"/>
          <w:spacing w:val="-13"/>
          <w:w w:val="105"/>
          <w:sz w:val="18"/>
          <w:szCs w:val="18"/>
        </w:rPr>
        <w:t xml:space="preserve"> </w:t>
      </w:r>
      <w:r w:rsidRPr="00A5537B">
        <w:rPr>
          <w:color w:val="17365D" w:themeColor="text2" w:themeShade="BF"/>
          <w:w w:val="105"/>
          <w:sz w:val="18"/>
          <w:szCs w:val="18"/>
        </w:rPr>
        <w:t>approach</w:t>
      </w:r>
      <w:r w:rsidRPr="00A5537B">
        <w:rPr>
          <w:color w:val="17365D" w:themeColor="text2" w:themeShade="BF"/>
          <w:spacing w:val="-12"/>
          <w:w w:val="105"/>
          <w:sz w:val="18"/>
          <w:szCs w:val="18"/>
        </w:rPr>
        <w:t xml:space="preserve"> </w:t>
      </w:r>
      <w:r w:rsidRPr="00A5537B">
        <w:rPr>
          <w:color w:val="17365D" w:themeColor="text2" w:themeShade="BF"/>
          <w:w w:val="105"/>
          <w:sz w:val="18"/>
          <w:szCs w:val="18"/>
        </w:rPr>
        <w:t>with</w:t>
      </w:r>
      <w:r w:rsidRPr="00A5537B">
        <w:rPr>
          <w:color w:val="17365D" w:themeColor="text2" w:themeShade="BF"/>
          <w:spacing w:val="-21"/>
          <w:w w:val="105"/>
          <w:sz w:val="18"/>
          <w:szCs w:val="18"/>
        </w:rPr>
        <w:t xml:space="preserve"> </w:t>
      </w:r>
      <w:r w:rsidRPr="00A5537B">
        <w:rPr>
          <w:color w:val="17365D" w:themeColor="text2" w:themeShade="BF"/>
          <w:w w:val="105"/>
          <w:sz w:val="18"/>
          <w:szCs w:val="18"/>
        </w:rPr>
        <w:t>industry, including</w:t>
      </w:r>
      <w:r w:rsidRPr="00A5537B">
        <w:rPr>
          <w:color w:val="17365D" w:themeColor="text2" w:themeShade="BF"/>
          <w:spacing w:val="-12"/>
          <w:w w:val="105"/>
          <w:sz w:val="18"/>
          <w:szCs w:val="18"/>
        </w:rPr>
        <w:t xml:space="preserve"> </w:t>
      </w:r>
      <w:r w:rsidRPr="00A5537B">
        <w:rPr>
          <w:color w:val="17365D" w:themeColor="text2" w:themeShade="BF"/>
          <w:w w:val="105"/>
          <w:sz w:val="18"/>
          <w:szCs w:val="18"/>
        </w:rPr>
        <w:t>clinicians,</w:t>
      </w:r>
      <w:r w:rsidRPr="00A5537B">
        <w:rPr>
          <w:color w:val="17365D" w:themeColor="text2" w:themeShade="BF"/>
          <w:spacing w:val="-8"/>
          <w:w w:val="105"/>
          <w:sz w:val="18"/>
          <w:szCs w:val="18"/>
        </w:rPr>
        <w:t xml:space="preserve"> </w:t>
      </w:r>
      <w:r w:rsidRPr="00A5537B">
        <w:rPr>
          <w:color w:val="17365D" w:themeColor="text2" w:themeShade="BF"/>
          <w:w w:val="105"/>
          <w:sz w:val="18"/>
          <w:szCs w:val="18"/>
        </w:rPr>
        <w:t>consumer</w:t>
      </w:r>
      <w:r w:rsidRPr="00A5537B">
        <w:rPr>
          <w:color w:val="17365D" w:themeColor="text2" w:themeShade="BF"/>
          <w:spacing w:val="-9"/>
          <w:w w:val="105"/>
          <w:sz w:val="18"/>
          <w:szCs w:val="18"/>
        </w:rPr>
        <w:t xml:space="preserve"> </w:t>
      </w:r>
      <w:r w:rsidRPr="00A5537B">
        <w:rPr>
          <w:color w:val="17365D" w:themeColor="text2" w:themeShade="BF"/>
          <w:w w:val="105"/>
          <w:sz w:val="18"/>
          <w:szCs w:val="18"/>
        </w:rPr>
        <w:t>groups,</w:t>
      </w:r>
      <w:r w:rsidRPr="00A5537B">
        <w:rPr>
          <w:color w:val="17365D" w:themeColor="text2" w:themeShade="BF"/>
          <w:spacing w:val="-11"/>
          <w:w w:val="105"/>
          <w:sz w:val="18"/>
          <w:szCs w:val="18"/>
        </w:rPr>
        <w:t xml:space="preserve"> </w:t>
      </w:r>
      <w:r w:rsidRPr="00A5537B">
        <w:rPr>
          <w:color w:val="17365D" w:themeColor="text2" w:themeShade="BF"/>
          <w:w w:val="105"/>
          <w:sz w:val="18"/>
          <w:szCs w:val="18"/>
        </w:rPr>
        <w:t>clinical</w:t>
      </w:r>
      <w:r w:rsidRPr="00A5537B">
        <w:rPr>
          <w:color w:val="17365D" w:themeColor="text2" w:themeShade="BF"/>
          <w:spacing w:val="-10"/>
          <w:w w:val="105"/>
          <w:sz w:val="18"/>
          <w:szCs w:val="18"/>
        </w:rPr>
        <w:t xml:space="preserve"> </w:t>
      </w:r>
      <w:r w:rsidRPr="00A5537B">
        <w:rPr>
          <w:color w:val="17365D" w:themeColor="text2" w:themeShade="BF"/>
          <w:w w:val="105"/>
          <w:sz w:val="18"/>
          <w:szCs w:val="18"/>
        </w:rPr>
        <w:t>software</w:t>
      </w:r>
      <w:r w:rsidRPr="00A5537B">
        <w:rPr>
          <w:color w:val="17365D" w:themeColor="text2" w:themeShade="BF"/>
          <w:spacing w:val="-11"/>
          <w:w w:val="105"/>
          <w:sz w:val="18"/>
          <w:szCs w:val="18"/>
        </w:rPr>
        <w:t xml:space="preserve"> </w:t>
      </w:r>
      <w:r w:rsidRPr="00A5537B">
        <w:rPr>
          <w:color w:val="17365D" w:themeColor="text2" w:themeShade="BF"/>
          <w:w w:val="105"/>
          <w:sz w:val="18"/>
          <w:szCs w:val="18"/>
        </w:rPr>
        <w:t>vendors</w:t>
      </w:r>
      <w:r w:rsidRPr="00A5537B">
        <w:rPr>
          <w:color w:val="17365D" w:themeColor="text2" w:themeShade="BF"/>
          <w:spacing w:val="-8"/>
          <w:w w:val="105"/>
          <w:sz w:val="18"/>
          <w:szCs w:val="18"/>
        </w:rPr>
        <w:t xml:space="preserve"> </w:t>
      </w:r>
      <w:r w:rsidRPr="00A5537B">
        <w:rPr>
          <w:color w:val="17365D" w:themeColor="text2" w:themeShade="BF"/>
          <w:w w:val="105"/>
          <w:sz w:val="18"/>
          <w:szCs w:val="18"/>
        </w:rPr>
        <w:t>and</w:t>
      </w:r>
      <w:r w:rsidRPr="00A5537B">
        <w:rPr>
          <w:color w:val="17365D" w:themeColor="text2" w:themeShade="BF"/>
          <w:spacing w:val="-15"/>
          <w:w w:val="105"/>
          <w:sz w:val="18"/>
          <w:szCs w:val="18"/>
        </w:rPr>
        <w:t xml:space="preserve"> </w:t>
      </w:r>
      <w:r w:rsidRPr="00A5537B">
        <w:rPr>
          <w:color w:val="17365D" w:themeColor="text2" w:themeShade="BF"/>
          <w:w w:val="105"/>
          <w:sz w:val="18"/>
          <w:szCs w:val="18"/>
        </w:rPr>
        <w:t>the</w:t>
      </w:r>
      <w:r w:rsidRPr="00A5537B">
        <w:rPr>
          <w:color w:val="17365D" w:themeColor="text2" w:themeShade="BF"/>
          <w:spacing w:val="-18"/>
          <w:w w:val="105"/>
          <w:sz w:val="18"/>
          <w:szCs w:val="18"/>
        </w:rPr>
        <w:t xml:space="preserve"> </w:t>
      </w:r>
      <w:r w:rsidRPr="00A5537B">
        <w:rPr>
          <w:color w:val="17365D" w:themeColor="text2" w:themeShade="BF"/>
          <w:w w:val="105"/>
          <w:sz w:val="18"/>
          <w:szCs w:val="18"/>
        </w:rPr>
        <w:t>pharmaceutical</w:t>
      </w:r>
      <w:r w:rsidRPr="00A5537B">
        <w:rPr>
          <w:color w:val="17365D" w:themeColor="text2" w:themeShade="BF"/>
          <w:spacing w:val="-26"/>
          <w:w w:val="105"/>
          <w:sz w:val="18"/>
          <w:szCs w:val="18"/>
        </w:rPr>
        <w:t xml:space="preserve"> </w:t>
      </w:r>
      <w:r w:rsidRPr="00A5537B">
        <w:rPr>
          <w:color w:val="17365D" w:themeColor="text2" w:themeShade="BF"/>
          <w:w w:val="105"/>
          <w:sz w:val="18"/>
          <w:szCs w:val="18"/>
        </w:rPr>
        <w:t>industry. The Department consulted directly with Services Australia, the Department of Veterans' Affairs, the Therapeutic Goods Administration and the ACSQHC which are supportive of this initiative. The</w:t>
      </w:r>
      <w:r w:rsidRPr="00A5537B">
        <w:rPr>
          <w:color w:val="17365D" w:themeColor="text2" w:themeShade="BF"/>
          <w:spacing w:val="-15"/>
          <w:w w:val="105"/>
          <w:sz w:val="18"/>
          <w:szCs w:val="18"/>
        </w:rPr>
        <w:t xml:space="preserve"> </w:t>
      </w:r>
      <w:r w:rsidRPr="00A5537B">
        <w:rPr>
          <w:color w:val="17365D" w:themeColor="text2" w:themeShade="BF"/>
          <w:w w:val="105"/>
          <w:sz w:val="18"/>
          <w:szCs w:val="18"/>
        </w:rPr>
        <w:t>Department</w:t>
      </w:r>
      <w:r w:rsidRPr="00A5537B">
        <w:rPr>
          <w:color w:val="17365D" w:themeColor="text2" w:themeShade="BF"/>
          <w:spacing w:val="1"/>
          <w:w w:val="105"/>
          <w:sz w:val="18"/>
          <w:szCs w:val="18"/>
        </w:rPr>
        <w:t xml:space="preserve"> </w:t>
      </w:r>
      <w:r w:rsidRPr="00A5537B">
        <w:rPr>
          <w:color w:val="17365D" w:themeColor="text2" w:themeShade="BF"/>
          <w:w w:val="105"/>
          <w:sz w:val="18"/>
          <w:szCs w:val="18"/>
        </w:rPr>
        <w:t>also</w:t>
      </w:r>
      <w:r w:rsidRPr="00A5537B">
        <w:rPr>
          <w:color w:val="17365D" w:themeColor="text2" w:themeShade="BF"/>
          <w:spacing w:val="-9"/>
          <w:w w:val="105"/>
          <w:sz w:val="18"/>
          <w:szCs w:val="18"/>
        </w:rPr>
        <w:t xml:space="preserve"> </w:t>
      </w:r>
      <w:r w:rsidRPr="00A5537B">
        <w:rPr>
          <w:color w:val="17365D" w:themeColor="text2" w:themeShade="BF"/>
          <w:w w:val="105"/>
          <w:sz w:val="18"/>
          <w:szCs w:val="18"/>
        </w:rPr>
        <w:t>consulted</w:t>
      </w:r>
      <w:r w:rsidRPr="00A5537B">
        <w:rPr>
          <w:color w:val="17365D" w:themeColor="text2" w:themeShade="BF"/>
          <w:spacing w:val="2"/>
          <w:w w:val="105"/>
          <w:sz w:val="18"/>
          <w:szCs w:val="18"/>
        </w:rPr>
        <w:t xml:space="preserve"> </w:t>
      </w:r>
      <w:r w:rsidRPr="00A5537B">
        <w:rPr>
          <w:color w:val="17365D" w:themeColor="text2" w:themeShade="BF"/>
          <w:w w:val="105"/>
          <w:sz w:val="18"/>
          <w:szCs w:val="18"/>
        </w:rPr>
        <w:t>with</w:t>
      </w:r>
      <w:r w:rsidRPr="00A5537B">
        <w:rPr>
          <w:color w:val="17365D" w:themeColor="text2" w:themeShade="BF"/>
          <w:spacing w:val="-14"/>
          <w:w w:val="105"/>
          <w:sz w:val="18"/>
          <w:szCs w:val="18"/>
        </w:rPr>
        <w:t xml:space="preserve"> </w:t>
      </w:r>
      <w:r w:rsidRPr="00A5537B">
        <w:rPr>
          <w:color w:val="17365D" w:themeColor="text2" w:themeShade="BF"/>
          <w:w w:val="105"/>
          <w:sz w:val="18"/>
          <w:szCs w:val="18"/>
        </w:rPr>
        <w:t>state</w:t>
      </w:r>
      <w:r w:rsidRPr="00A5537B">
        <w:rPr>
          <w:color w:val="17365D" w:themeColor="text2" w:themeShade="BF"/>
          <w:spacing w:val="-14"/>
          <w:w w:val="105"/>
          <w:sz w:val="18"/>
          <w:szCs w:val="18"/>
        </w:rPr>
        <w:t xml:space="preserve"> </w:t>
      </w:r>
      <w:r w:rsidRPr="00A5537B">
        <w:rPr>
          <w:color w:val="17365D" w:themeColor="text2" w:themeShade="BF"/>
          <w:w w:val="105"/>
          <w:sz w:val="18"/>
          <w:szCs w:val="18"/>
        </w:rPr>
        <w:t>and</w:t>
      </w:r>
      <w:r w:rsidRPr="00A5537B">
        <w:rPr>
          <w:color w:val="17365D" w:themeColor="text2" w:themeShade="BF"/>
          <w:spacing w:val="-7"/>
          <w:w w:val="105"/>
          <w:sz w:val="18"/>
          <w:szCs w:val="18"/>
        </w:rPr>
        <w:t xml:space="preserve"> </w:t>
      </w:r>
      <w:r w:rsidRPr="00A5537B">
        <w:rPr>
          <w:color w:val="17365D" w:themeColor="text2" w:themeShade="BF"/>
          <w:w w:val="105"/>
          <w:sz w:val="18"/>
          <w:szCs w:val="18"/>
        </w:rPr>
        <w:t>territory</w:t>
      </w:r>
      <w:r w:rsidRPr="00A5537B">
        <w:rPr>
          <w:color w:val="17365D" w:themeColor="text2" w:themeShade="BF"/>
          <w:spacing w:val="-6"/>
          <w:w w:val="105"/>
          <w:sz w:val="18"/>
          <w:szCs w:val="18"/>
        </w:rPr>
        <w:t xml:space="preserve"> </w:t>
      </w:r>
      <w:r w:rsidRPr="00A5537B">
        <w:rPr>
          <w:color w:val="17365D" w:themeColor="text2" w:themeShade="BF"/>
          <w:w w:val="105"/>
          <w:sz w:val="18"/>
          <w:szCs w:val="18"/>
        </w:rPr>
        <w:t>governments,</w:t>
      </w:r>
      <w:r w:rsidRPr="00A5537B">
        <w:rPr>
          <w:color w:val="17365D" w:themeColor="text2" w:themeShade="BF"/>
          <w:spacing w:val="8"/>
          <w:w w:val="105"/>
          <w:sz w:val="18"/>
          <w:szCs w:val="18"/>
        </w:rPr>
        <w:t xml:space="preserve"> </w:t>
      </w:r>
      <w:r w:rsidRPr="00A5537B">
        <w:rPr>
          <w:color w:val="17365D" w:themeColor="text2" w:themeShade="BF"/>
          <w:w w:val="105"/>
          <w:sz w:val="18"/>
          <w:szCs w:val="18"/>
        </w:rPr>
        <w:t>which</w:t>
      </w:r>
      <w:r w:rsidRPr="00A5537B">
        <w:rPr>
          <w:color w:val="17365D" w:themeColor="text2" w:themeShade="BF"/>
          <w:spacing w:val="-9"/>
          <w:w w:val="105"/>
          <w:sz w:val="18"/>
          <w:szCs w:val="18"/>
        </w:rPr>
        <w:t xml:space="preserve"> </w:t>
      </w:r>
      <w:r w:rsidRPr="00A5537B">
        <w:rPr>
          <w:color w:val="17365D" w:themeColor="text2" w:themeShade="BF"/>
          <w:w w:val="105"/>
          <w:sz w:val="18"/>
          <w:szCs w:val="18"/>
        </w:rPr>
        <w:t>are</w:t>
      </w:r>
      <w:r w:rsidRPr="00A5537B">
        <w:rPr>
          <w:color w:val="17365D" w:themeColor="text2" w:themeShade="BF"/>
          <w:spacing w:val="-16"/>
          <w:w w:val="105"/>
          <w:sz w:val="18"/>
          <w:szCs w:val="18"/>
        </w:rPr>
        <w:t xml:space="preserve"> </w:t>
      </w:r>
      <w:r w:rsidRPr="00A5537B">
        <w:rPr>
          <w:color w:val="17365D" w:themeColor="text2" w:themeShade="BF"/>
          <w:w w:val="105"/>
          <w:sz w:val="18"/>
          <w:szCs w:val="18"/>
        </w:rPr>
        <w:t>also</w:t>
      </w:r>
      <w:r w:rsidRPr="00A5537B">
        <w:rPr>
          <w:color w:val="17365D" w:themeColor="text2" w:themeShade="BF"/>
          <w:spacing w:val="-11"/>
          <w:w w:val="105"/>
          <w:sz w:val="18"/>
          <w:szCs w:val="18"/>
        </w:rPr>
        <w:t xml:space="preserve"> </w:t>
      </w:r>
      <w:r w:rsidRPr="00A5537B">
        <w:rPr>
          <w:color w:val="17365D" w:themeColor="text2" w:themeShade="BF"/>
          <w:w w:val="105"/>
          <w:sz w:val="18"/>
          <w:szCs w:val="18"/>
        </w:rPr>
        <w:t>supportive.</w:t>
      </w:r>
    </w:p>
    <w:p w14:paraId="7875900E" w14:textId="77777777" w:rsidR="00161531" w:rsidRPr="00A5537B" w:rsidRDefault="00161531" w:rsidP="00904C3F">
      <w:pPr>
        <w:pStyle w:val="BodyText"/>
        <w:spacing w:after="360" w:line="252" w:lineRule="auto"/>
        <w:ind w:left="590" w:right="612" w:hanging="6"/>
        <w:jc w:val="both"/>
        <w:rPr>
          <w:color w:val="17365D" w:themeColor="text2" w:themeShade="BF"/>
          <w:w w:val="105"/>
          <w:sz w:val="18"/>
          <w:szCs w:val="18"/>
        </w:rPr>
      </w:pPr>
      <w:r w:rsidRPr="00A5537B">
        <w:rPr>
          <w:color w:val="17365D" w:themeColor="text2" w:themeShade="BF"/>
          <w:w w:val="105"/>
          <w:sz w:val="18"/>
          <w:szCs w:val="18"/>
        </w:rPr>
        <w:t>Subsection 40(2C) ensures that these requirements do not apply where it would contravene State or Territory legislation.</w:t>
      </w:r>
    </w:p>
    <w:p w14:paraId="5242CC86" w14:textId="77777777" w:rsidR="00161531" w:rsidRDefault="00546478" w:rsidP="00161531">
      <w:pPr>
        <w:pStyle w:val="Heading2"/>
      </w:pPr>
      <w:bookmarkStart w:id="97" w:name="_Toc57702507"/>
      <w:bookmarkEnd w:id="94"/>
      <w:r>
        <w:t xml:space="preserve">Format of the RLDBI </w:t>
      </w:r>
      <w:r w:rsidR="00161531">
        <w:t>Reference Set</w:t>
      </w:r>
      <w:bookmarkEnd w:id="97"/>
    </w:p>
    <w:p w14:paraId="67AD129C" w14:textId="77777777" w:rsidR="00161531" w:rsidRPr="00161531" w:rsidRDefault="00161531" w:rsidP="00904C3F">
      <w:pPr>
        <w:ind w:left="794"/>
      </w:pPr>
      <w:r>
        <w:t>The s</w:t>
      </w:r>
      <w:r w:rsidR="00546478">
        <w:t>pecifications for the interpretation of this reference set</w:t>
      </w:r>
      <w:r>
        <w:t xml:space="preserve"> and the distribution frequencies will be provided by ADHA.</w:t>
      </w:r>
    </w:p>
    <w:p w14:paraId="75AFD405" w14:textId="77777777" w:rsidR="002105AA" w:rsidRDefault="002D34DD" w:rsidP="00904C3F">
      <w:pPr>
        <w:spacing w:before="480"/>
        <w:jc w:val="center"/>
      </w:pPr>
      <w:bookmarkStart w:id="98" w:name="_Hlk25858718"/>
      <w:r>
        <w:t>--- End ---</w:t>
      </w:r>
      <w:bookmarkEnd w:id="98"/>
    </w:p>
    <w:sectPr w:rsidR="002105AA" w:rsidSect="00C24DE6">
      <w:headerReference w:type="even" r:id="rId27"/>
      <w:headerReference w:type="first" r:id="rId28"/>
      <w:pgSz w:w="11907" w:h="16839" w:code="9"/>
      <w:pgMar w:top="1440" w:right="1440" w:bottom="1440" w:left="1440" w:header="72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866D5" w14:textId="77777777" w:rsidR="00BC57B5" w:rsidRDefault="00BC57B5" w:rsidP="002C41C7">
      <w:r>
        <w:separator/>
      </w:r>
    </w:p>
    <w:p w14:paraId="7CDDB159" w14:textId="77777777" w:rsidR="00BC57B5" w:rsidRDefault="00BC57B5" w:rsidP="002C41C7"/>
  </w:endnote>
  <w:endnote w:type="continuationSeparator" w:id="0">
    <w:p w14:paraId="1F64C56A" w14:textId="77777777" w:rsidR="00BC57B5" w:rsidRDefault="00BC57B5" w:rsidP="002C41C7">
      <w:r>
        <w:continuationSeparator/>
      </w:r>
    </w:p>
    <w:p w14:paraId="77F63FC8" w14:textId="77777777" w:rsidR="00BC57B5" w:rsidRDefault="00BC57B5" w:rsidP="002C41C7"/>
  </w:endnote>
  <w:endnote w:type="continuationNotice" w:id="1">
    <w:p w14:paraId="57F01E9E" w14:textId="77777777" w:rsidR="00BC57B5" w:rsidRDefault="00BC57B5" w:rsidP="002C41C7"/>
    <w:p w14:paraId="31D37182" w14:textId="77777777" w:rsidR="00BC57B5" w:rsidRDefault="00BC57B5" w:rsidP="002C4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Pro">
    <w:altName w:val="Arial"/>
    <w:charset w:val="00"/>
    <w:family w:val="swiss"/>
    <w:pitch w:val="variable"/>
    <w:sig w:usb0="80000287" w:usb1="0000004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6D22" w14:textId="77777777" w:rsidR="00C81816" w:rsidRDefault="00C8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F18D" w14:textId="693A0D7A" w:rsidR="00BC57B5" w:rsidRPr="00CA60E2" w:rsidRDefault="00BC57B5" w:rsidP="003F0390">
    <w:pPr>
      <w:pStyle w:val="CCS-Heading3"/>
      <w:tabs>
        <w:tab w:val="clear" w:pos="1134"/>
        <w:tab w:val="left" w:pos="7797"/>
      </w:tabs>
      <w:rPr>
        <w:rFonts w:asciiTheme="minorHAnsi" w:hAnsiTheme="minorHAnsi" w:cstheme="minorHAnsi"/>
        <w:b w:val="0"/>
        <w:bCs/>
        <w:sz w:val="20"/>
        <w:szCs w:val="20"/>
      </w:rPr>
    </w:pPr>
    <w:r w:rsidRPr="00CA60E2">
      <w:rPr>
        <w:rFonts w:asciiTheme="minorHAnsi" w:hAnsiTheme="minorHAnsi" w:cstheme="minorHAnsi"/>
        <w:b w:val="0"/>
        <w:bCs/>
        <w:sz w:val="20"/>
        <w:szCs w:val="20"/>
      </w:rPr>
      <w:t>MSIA AIP VRD (</w:t>
    </w:r>
    <w:r>
      <w:rPr>
        <w:rFonts w:asciiTheme="minorHAnsi" w:hAnsiTheme="minorHAnsi" w:cstheme="minorHAnsi"/>
        <w:b w:val="0"/>
        <w:bCs/>
        <w:sz w:val="20"/>
        <w:szCs w:val="20"/>
      </w:rPr>
      <w:t>v2.3</w:t>
    </w:r>
    <w:r w:rsidRPr="00CA60E2">
      <w:rPr>
        <w:rFonts w:asciiTheme="minorHAnsi" w:hAnsiTheme="minorHAnsi" w:cstheme="minorHAnsi"/>
        <w:b w:val="0"/>
        <w:bCs/>
        <w:sz w:val="20"/>
        <w:szCs w:val="20"/>
      </w:rPr>
      <w:t>)</w:t>
    </w:r>
    <w:r>
      <w:rPr>
        <w:rFonts w:asciiTheme="minorHAnsi" w:hAnsiTheme="minorHAnsi" w:cstheme="minorHAnsi"/>
        <w:b w:val="0"/>
        <w:bCs/>
        <w:sz w:val="20"/>
        <w:szCs w:val="20"/>
      </w:rPr>
      <w:tab/>
    </w:r>
    <w:r w:rsidRPr="00CA60E2">
      <w:rPr>
        <w:rFonts w:asciiTheme="minorHAnsi" w:hAnsiTheme="minorHAnsi" w:cstheme="minorHAnsi"/>
        <w:b w:val="0"/>
        <w:bCs/>
        <w:sz w:val="20"/>
        <w:szCs w:val="20"/>
      </w:rPr>
      <w:t xml:space="preserve">Page </w:t>
    </w:r>
    <w:r w:rsidRPr="00CA60E2">
      <w:rPr>
        <w:rFonts w:asciiTheme="minorHAnsi" w:hAnsiTheme="minorHAnsi" w:cstheme="minorHAnsi"/>
        <w:b w:val="0"/>
        <w:bCs/>
        <w:sz w:val="20"/>
        <w:szCs w:val="20"/>
      </w:rPr>
      <w:fldChar w:fldCharType="begin"/>
    </w:r>
    <w:r w:rsidRPr="00CA60E2">
      <w:rPr>
        <w:rFonts w:asciiTheme="minorHAnsi" w:hAnsiTheme="minorHAnsi" w:cstheme="minorHAnsi"/>
        <w:b w:val="0"/>
        <w:bCs/>
        <w:sz w:val="20"/>
        <w:szCs w:val="20"/>
      </w:rPr>
      <w:instrText xml:space="preserve"> PAGE  \* Arabic  \* MERGEFORMAT </w:instrText>
    </w:r>
    <w:r w:rsidRPr="00CA60E2">
      <w:rPr>
        <w:rFonts w:asciiTheme="minorHAnsi" w:hAnsiTheme="minorHAnsi" w:cstheme="minorHAnsi"/>
        <w:b w:val="0"/>
        <w:bCs/>
        <w:sz w:val="20"/>
        <w:szCs w:val="20"/>
      </w:rPr>
      <w:fldChar w:fldCharType="separate"/>
    </w:r>
    <w:r w:rsidR="00002779">
      <w:rPr>
        <w:rFonts w:asciiTheme="minorHAnsi" w:hAnsiTheme="minorHAnsi" w:cstheme="minorHAnsi"/>
        <w:b w:val="0"/>
        <w:bCs/>
        <w:noProof/>
        <w:sz w:val="20"/>
        <w:szCs w:val="20"/>
      </w:rPr>
      <w:t>20</w:t>
    </w:r>
    <w:r w:rsidRPr="00CA60E2">
      <w:rPr>
        <w:rFonts w:asciiTheme="minorHAnsi" w:hAnsiTheme="minorHAnsi" w:cstheme="minorHAnsi"/>
        <w:b w:val="0"/>
        <w:bCs/>
        <w:sz w:val="20"/>
        <w:szCs w:val="20"/>
      </w:rPr>
      <w:fldChar w:fldCharType="end"/>
    </w:r>
    <w:r w:rsidRPr="00CA60E2">
      <w:rPr>
        <w:rFonts w:asciiTheme="minorHAnsi" w:hAnsiTheme="minorHAnsi" w:cstheme="minorHAnsi"/>
        <w:b w:val="0"/>
        <w:bCs/>
        <w:sz w:val="20"/>
        <w:szCs w:val="20"/>
      </w:rPr>
      <w:t xml:space="preserve"> of </w:t>
    </w:r>
    <w:r w:rsidRPr="00CA60E2">
      <w:rPr>
        <w:rFonts w:asciiTheme="minorHAnsi" w:hAnsiTheme="minorHAnsi" w:cstheme="minorHAnsi"/>
        <w:b w:val="0"/>
        <w:bCs/>
        <w:sz w:val="20"/>
        <w:szCs w:val="20"/>
      </w:rPr>
      <w:fldChar w:fldCharType="begin"/>
    </w:r>
    <w:r w:rsidRPr="00CA60E2">
      <w:rPr>
        <w:rFonts w:asciiTheme="minorHAnsi" w:hAnsiTheme="minorHAnsi" w:cstheme="minorHAnsi"/>
        <w:b w:val="0"/>
        <w:bCs/>
        <w:sz w:val="20"/>
        <w:szCs w:val="20"/>
      </w:rPr>
      <w:instrText xml:space="preserve"> NUMPAGES  \* Arabic  \* MERGEFORMAT </w:instrText>
    </w:r>
    <w:r w:rsidRPr="00CA60E2">
      <w:rPr>
        <w:rFonts w:asciiTheme="minorHAnsi" w:hAnsiTheme="minorHAnsi" w:cstheme="minorHAnsi"/>
        <w:b w:val="0"/>
        <w:bCs/>
        <w:sz w:val="20"/>
        <w:szCs w:val="20"/>
      </w:rPr>
      <w:fldChar w:fldCharType="separate"/>
    </w:r>
    <w:r w:rsidR="00002779">
      <w:rPr>
        <w:rFonts w:asciiTheme="minorHAnsi" w:hAnsiTheme="minorHAnsi" w:cstheme="minorHAnsi"/>
        <w:b w:val="0"/>
        <w:bCs/>
        <w:noProof/>
        <w:sz w:val="20"/>
        <w:szCs w:val="20"/>
      </w:rPr>
      <w:t>21</w:t>
    </w:r>
    <w:r w:rsidRPr="00CA60E2">
      <w:rPr>
        <w:rFonts w:asciiTheme="minorHAnsi" w:hAnsiTheme="minorHAnsi" w:cstheme="minorHAnsi"/>
        <w:b w:val="0"/>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347B" w14:textId="77777777" w:rsidR="00C81816" w:rsidRDefault="00C818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8F927" w14:textId="77777777" w:rsidR="00BC57B5" w:rsidRPr="0017103D" w:rsidRDefault="00BC57B5" w:rsidP="00E907A5">
    <w:pPr>
      <w:pStyle w:val="Footer"/>
    </w:pPr>
    <w:r>
      <w:t xml:space="preserve">DRAFT   Page </w:t>
    </w:r>
    <w:r>
      <w:fldChar w:fldCharType="begin"/>
    </w:r>
    <w:r>
      <w:instrText xml:space="preserve"> PAGE  \* Arabic  \* MERGEFORMAT </w:instrText>
    </w:r>
    <w:r>
      <w:fldChar w:fldCharType="separate"/>
    </w:r>
    <w:r>
      <w:rPr>
        <w:noProof/>
      </w:rPr>
      <w:t>3</w:t>
    </w:r>
    <w:r>
      <w:fldChar w:fldCharType="end"/>
    </w:r>
    <w:r>
      <w:t xml:space="preserve"> of </w:t>
    </w:r>
    <w:r w:rsidR="00002779">
      <w:fldChar w:fldCharType="begin"/>
    </w:r>
    <w:r w:rsidR="00002779">
      <w:instrText xml:space="preserve"> NUMPAGES  \* Arabic  \* MERGEFORMAT </w:instrText>
    </w:r>
    <w:r w:rsidR="00002779">
      <w:fldChar w:fldCharType="separate"/>
    </w:r>
    <w:r>
      <w:rPr>
        <w:noProof/>
      </w:rPr>
      <w:t>12</w:t>
    </w:r>
    <w:r w:rsidR="000027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CCC8" w14:textId="77777777" w:rsidR="00BC57B5" w:rsidRDefault="00BC57B5" w:rsidP="002C41C7">
      <w:bookmarkStart w:id="0" w:name="_Hlk15898775"/>
      <w:bookmarkEnd w:id="0"/>
      <w:r>
        <w:separator/>
      </w:r>
    </w:p>
    <w:p w14:paraId="29B007F9" w14:textId="77777777" w:rsidR="00BC57B5" w:rsidRDefault="00BC57B5" w:rsidP="002C41C7"/>
  </w:footnote>
  <w:footnote w:type="continuationSeparator" w:id="0">
    <w:p w14:paraId="5550346A" w14:textId="77777777" w:rsidR="00BC57B5" w:rsidRDefault="00BC57B5" w:rsidP="002C41C7">
      <w:r>
        <w:continuationSeparator/>
      </w:r>
    </w:p>
    <w:p w14:paraId="00F7A106" w14:textId="77777777" w:rsidR="00BC57B5" w:rsidRDefault="00BC57B5" w:rsidP="002C41C7"/>
  </w:footnote>
  <w:footnote w:type="continuationNotice" w:id="1">
    <w:p w14:paraId="2983E0C6" w14:textId="77777777" w:rsidR="00BC57B5" w:rsidRDefault="00BC57B5" w:rsidP="002C41C7"/>
    <w:p w14:paraId="4352C2A1" w14:textId="77777777" w:rsidR="00BC57B5" w:rsidRDefault="00BC57B5" w:rsidP="002C41C7"/>
  </w:footnote>
  <w:footnote w:id="2">
    <w:p w14:paraId="0332A2E3" w14:textId="77777777" w:rsidR="00BC57B5" w:rsidRPr="00CD46E5" w:rsidRDefault="00BC57B5" w:rsidP="002C41C7">
      <w:pPr>
        <w:pStyle w:val="FootnoteText"/>
        <w:rPr>
          <w:color w:val="000000"/>
          <w:sz w:val="18"/>
          <w:szCs w:val="18"/>
          <w:lang w:val="en-US"/>
        </w:rPr>
      </w:pPr>
      <w:r w:rsidRPr="00CD46E5">
        <w:rPr>
          <w:rStyle w:val="FootnoteReference"/>
          <w:color w:val="000000"/>
          <w:sz w:val="18"/>
          <w:szCs w:val="18"/>
        </w:rPr>
        <w:footnoteRef/>
      </w:r>
      <w:r w:rsidRPr="00CD46E5">
        <w:rPr>
          <w:color w:val="000000"/>
          <w:sz w:val="18"/>
          <w:szCs w:val="18"/>
        </w:rPr>
        <w:t xml:space="preserve"> </w:t>
      </w:r>
      <w:r w:rsidRPr="00CD46E5">
        <w:rPr>
          <w:color w:val="000000"/>
          <w:sz w:val="18"/>
          <w:szCs w:val="18"/>
        </w:rPr>
        <w:fldChar w:fldCharType="begin"/>
      </w:r>
      <w:r w:rsidRPr="00CD46E5">
        <w:rPr>
          <w:color w:val="000000"/>
          <w:sz w:val="18"/>
          <w:szCs w:val="18"/>
        </w:rPr>
        <w:instrText xml:space="preserve"> HYPER</w:instrText>
      </w:r>
      <w:r w:rsidRPr="00CD46E5">
        <w:rPr>
          <w:rStyle w:val="FootnoteReference"/>
          <w:color w:val="000000"/>
          <w:sz w:val="18"/>
          <w:szCs w:val="18"/>
        </w:rPr>
        <w:footnoteRef/>
      </w:r>
      <w:r w:rsidRPr="00CD46E5">
        <w:rPr>
          <w:color w:val="000000"/>
          <w:sz w:val="18"/>
          <w:szCs w:val="18"/>
        </w:rPr>
        <w:instrText xml:space="preserve"> </w:instrText>
      </w:r>
      <w:hyperlink r:id="rId1" w:history="1">
        <w:r w:rsidRPr="00CD46E5">
          <w:rPr>
            <w:rStyle w:val="Hyperlink"/>
            <w:color w:val="000000"/>
            <w:sz w:val="18"/>
            <w:szCs w:val="18"/>
          </w:rPr>
          <w:instrText>http://www.comlaw.gov.au/Details/F2012L01200</w:instrText>
        </w:r>
      </w:hyperlink>
    </w:p>
    <w:p w14:paraId="489F7F22" w14:textId="77777777" w:rsidR="00BC57B5" w:rsidRPr="00CD46E5" w:rsidRDefault="00BC57B5" w:rsidP="002C41C7">
      <w:pPr>
        <w:pStyle w:val="FootnoteText"/>
        <w:rPr>
          <w:lang w:val="en-US"/>
        </w:rPr>
      </w:pPr>
      <w:r w:rsidRPr="00CD46E5">
        <w:fldChar w:fldCharType="end"/>
      </w:r>
      <w:hyperlink r:id="rId2" w:history="1">
        <w:r w:rsidRPr="004B5D1F">
          <w:rPr>
            <w:rStyle w:val="Hyperlink"/>
          </w:rPr>
          <w:t>http://www.tga.gov.au/industry/artg.htm</w:t>
        </w:r>
      </w:hyperlink>
      <w:r>
        <w:t xml:space="preserve"> </w:t>
      </w:r>
    </w:p>
  </w:footnote>
  <w:footnote w:id="3">
    <w:p w14:paraId="29DD1CB0" w14:textId="77777777" w:rsidR="00BC57B5" w:rsidRDefault="00BC57B5" w:rsidP="002C41C7">
      <w:pPr>
        <w:pStyle w:val="FootnoteText"/>
      </w:pPr>
      <w:r>
        <w:rPr>
          <w:rStyle w:val="FootnoteReference"/>
        </w:rPr>
        <w:footnoteRef/>
      </w:r>
      <w:r>
        <w:t xml:space="preserve"> </w:t>
      </w:r>
      <w:hyperlink r:id="rId3" w:history="1">
        <w:r w:rsidRPr="004B5D1F">
          <w:rPr>
            <w:rStyle w:val="Hyperlink"/>
          </w:rPr>
          <w:t>www.pbs.gov.au</w:t>
        </w:r>
      </w:hyperlink>
      <w:r>
        <w:t xml:space="preserve"> </w:t>
      </w:r>
    </w:p>
  </w:footnote>
  <w:footnote w:id="4">
    <w:p w14:paraId="489232B6" w14:textId="0C36AF54" w:rsidR="00BC57B5" w:rsidRDefault="00BC57B5" w:rsidP="00B75624">
      <w:pPr>
        <w:pStyle w:val="FootnoteText"/>
        <w:spacing w:before="0"/>
        <w:ind w:left="142"/>
      </w:pPr>
      <w:r w:rsidRPr="00404B5E">
        <w:rPr>
          <w:rStyle w:val="FootnoteReference"/>
          <w:sz w:val="20"/>
        </w:rPr>
        <w:footnoteRef/>
      </w:r>
      <w:r w:rsidRPr="00404B5E">
        <w:rPr>
          <w:sz w:val="20"/>
        </w:rPr>
        <w:t xml:space="preserve"> </w:t>
      </w:r>
      <w:hyperlink r:id="rId4" w:history="1">
        <w:r w:rsidRPr="00A472EC">
          <w:rPr>
            <w:rStyle w:val="Hyperlink"/>
          </w:rPr>
          <w:t>https://www1.health.gov.au/internet/budget/publishing.nsf/Content/budget2018-factsheet13.htm</w:t>
        </w:r>
      </w:hyperlink>
    </w:p>
  </w:footnote>
  <w:footnote w:id="5">
    <w:p w14:paraId="2351A1DA" w14:textId="28F0D8B9" w:rsidR="00BC57B5" w:rsidRDefault="00BC57B5" w:rsidP="00B75624">
      <w:pPr>
        <w:pStyle w:val="FootnoteText"/>
        <w:spacing w:before="0"/>
        <w:ind w:left="142"/>
      </w:pPr>
      <w:r>
        <w:rPr>
          <w:rStyle w:val="FootnoteReference"/>
        </w:rPr>
        <w:footnoteRef/>
      </w:r>
      <w:r>
        <w:t xml:space="preserve"> </w:t>
      </w:r>
      <w:hyperlink r:id="rId5" w:history="1">
        <w:r>
          <w:rPr>
            <w:rStyle w:val="Hyperlink"/>
          </w:rPr>
          <w:t>https://www.legislation.gov.au/Details/F2019L01312</w:t>
        </w:r>
      </w:hyperlink>
    </w:p>
  </w:footnote>
  <w:footnote w:id="6">
    <w:p w14:paraId="0DBAF84C" w14:textId="77777777" w:rsidR="00BC57B5" w:rsidRDefault="00BC57B5" w:rsidP="00B75624">
      <w:pPr>
        <w:pStyle w:val="FootnoteText"/>
        <w:spacing w:before="0"/>
        <w:ind w:hanging="567"/>
      </w:pPr>
      <w:r>
        <w:rPr>
          <w:rStyle w:val="FootnoteReference"/>
        </w:rPr>
        <w:footnoteRef/>
      </w:r>
      <w:r>
        <w:t xml:space="preserve"> </w:t>
      </w:r>
      <w:hyperlink r:id="rId6" w:history="1">
        <w:r>
          <w:rPr>
            <w:rStyle w:val="Hyperlink"/>
          </w:rPr>
          <w:t>https://www.legislation.gov.au/Details/F2019L01387</w:t>
        </w:r>
      </w:hyperlink>
    </w:p>
  </w:footnote>
  <w:footnote w:id="7">
    <w:p w14:paraId="58D435C1" w14:textId="77777777" w:rsidR="00BC57B5" w:rsidRDefault="00BC57B5">
      <w:pPr>
        <w:pStyle w:val="FootnoteText"/>
      </w:pPr>
      <w:r>
        <w:rPr>
          <w:rStyle w:val="FootnoteReference"/>
        </w:rPr>
        <w:footnoteRef/>
      </w:r>
      <w:r>
        <w:t xml:space="preserve"> </w:t>
      </w:r>
      <w:r w:rsidRPr="00643505">
        <w:t>https://www.safetyandquality.gov.au/publications-and-resources/resource-library/recommendations-terminology-abbreviations-and-symbols-used-medicines-documentation</w:t>
      </w:r>
    </w:p>
  </w:footnote>
  <w:footnote w:id="8">
    <w:p w14:paraId="601F0527" w14:textId="77777777" w:rsidR="00BC57B5" w:rsidRDefault="00BC57B5">
      <w:pPr>
        <w:pStyle w:val="FootnoteText"/>
      </w:pPr>
      <w:r>
        <w:rPr>
          <w:rStyle w:val="FootnoteReference"/>
        </w:rPr>
        <w:footnoteRef/>
      </w:r>
      <w:r>
        <w:t xml:space="preserve"> </w:t>
      </w:r>
      <w:r w:rsidRPr="00643505">
        <w:t>https://www.safetyandquality.gov.au/publications-and-resources/resource-library/national-guidelines-screen-display-medicines-information</w:t>
      </w:r>
    </w:p>
  </w:footnote>
  <w:footnote w:id="9">
    <w:p w14:paraId="2115936B" w14:textId="77777777" w:rsidR="00BC57B5" w:rsidRDefault="00BC57B5" w:rsidP="000A458A">
      <w:pPr>
        <w:pStyle w:val="FootnoteText"/>
      </w:pPr>
      <w:r>
        <w:rPr>
          <w:rStyle w:val="FootnoteReference"/>
        </w:rPr>
        <w:footnoteRef/>
      </w:r>
      <w:r>
        <w:t xml:space="preserve"> </w:t>
      </w:r>
      <w:hyperlink r:id="rId7" w:history="1">
        <w:r>
          <w:rPr>
            <w:rStyle w:val="Hyperlink"/>
          </w:rPr>
          <w:t>https://dev.pbs.gov.au/embargo/index.html</w:t>
        </w:r>
      </w:hyperlink>
    </w:p>
  </w:footnote>
  <w:footnote w:id="10">
    <w:p w14:paraId="53C53913" w14:textId="1A1549FE" w:rsidR="00BC57B5" w:rsidRDefault="00BC57B5">
      <w:pPr>
        <w:pStyle w:val="FootnoteText"/>
      </w:pPr>
      <w:r>
        <w:rPr>
          <w:rStyle w:val="FootnoteReference"/>
        </w:rPr>
        <w:footnoteRef/>
      </w:r>
      <w:r>
        <w:t xml:space="preserve"> </w:t>
      </w:r>
      <w:r w:rsidRPr="005F2773">
        <w:t>Paragraph 40(2A)(a) (ii) Paragraph 40(2A) (a) (ii)the prescription is for the supply of a pharmaceutical benefit that has 4 or more drugs.</w:t>
      </w:r>
    </w:p>
  </w:footnote>
  <w:footnote w:id="11">
    <w:p w14:paraId="502B7980" w14:textId="77777777" w:rsidR="00BC57B5" w:rsidRDefault="00BC57B5">
      <w:pPr>
        <w:pStyle w:val="FootnoteText"/>
      </w:pPr>
      <w:r>
        <w:rPr>
          <w:rStyle w:val="FootnoteReference"/>
        </w:rPr>
        <w:footnoteRef/>
      </w:r>
      <w:r>
        <w:t xml:space="preserve"> </w:t>
      </w:r>
      <w:r w:rsidRPr="005E1BDB">
        <w:t>https://www.humanservices.gov.au/organisations/health-professionals/topics/education-guide-prescribing-dispensing-and-claiming-hsd/32081</w:t>
      </w:r>
    </w:p>
  </w:footnote>
  <w:footnote w:id="12">
    <w:p w14:paraId="2EE0F70C" w14:textId="77777777" w:rsidR="00BC57B5" w:rsidRDefault="00BC57B5" w:rsidP="00EA03F5">
      <w:pPr>
        <w:pStyle w:val="FootnoteText"/>
      </w:pPr>
      <w:r>
        <w:rPr>
          <w:rStyle w:val="FootnoteReference"/>
        </w:rPr>
        <w:footnoteRef/>
      </w:r>
      <w:r>
        <w:t xml:space="preserve"> </w:t>
      </w:r>
      <w:r w:rsidRPr="00BB77D8">
        <w:t>https://www.tga.gov.au/accessing-unapproved-products</w:t>
      </w:r>
    </w:p>
  </w:footnote>
  <w:footnote w:id="13">
    <w:p w14:paraId="07724F25" w14:textId="77777777" w:rsidR="00BC57B5" w:rsidRDefault="00BC57B5" w:rsidP="00BB77D8">
      <w:pPr>
        <w:pStyle w:val="FootnoteText"/>
      </w:pPr>
      <w:r>
        <w:rPr>
          <w:rStyle w:val="FootnoteReference"/>
        </w:rPr>
        <w:footnoteRef/>
      </w:r>
      <w:r>
        <w:t xml:space="preserve"> </w:t>
      </w:r>
      <w:r w:rsidRPr="00A650F6">
        <w:t>https://www.tga.gov.au/form/special-access-scheme</w:t>
      </w:r>
    </w:p>
  </w:footnote>
  <w:footnote w:id="14">
    <w:p w14:paraId="4752F25E" w14:textId="77777777" w:rsidR="00BC57B5" w:rsidRDefault="00BC57B5" w:rsidP="00EA03F5">
      <w:pPr>
        <w:pStyle w:val="FootnoteText"/>
      </w:pPr>
      <w:r>
        <w:rPr>
          <w:rStyle w:val="FootnoteReference"/>
        </w:rPr>
        <w:footnoteRef/>
      </w:r>
      <w:r>
        <w:t xml:space="preserve"> </w:t>
      </w:r>
      <w:r w:rsidRPr="00324CE5">
        <w:t>https://www.tga.gov.au/access-medicinal-cannabis-products-using-access-schemes</w:t>
      </w:r>
    </w:p>
  </w:footnote>
  <w:footnote w:id="15">
    <w:p w14:paraId="5428D544" w14:textId="77777777" w:rsidR="00BC57B5" w:rsidRDefault="00BC57B5">
      <w:pPr>
        <w:pStyle w:val="FootnoteText"/>
      </w:pPr>
      <w:r>
        <w:rPr>
          <w:rStyle w:val="FootnoteReference"/>
        </w:rPr>
        <w:footnoteRef/>
      </w:r>
      <w:r>
        <w:t xml:space="preserve"> </w:t>
      </w:r>
      <w:r w:rsidRPr="00A0211B">
        <w:t>https://www.medicalboard.gov.au/Codes-Guidelines-Policies/Code-of-conduct.aspx</w:t>
      </w:r>
    </w:p>
    <w:p w14:paraId="3D8A78BB" w14:textId="77777777" w:rsidR="00BC57B5" w:rsidRDefault="00BC57B5">
      <w:pPr>
        <w:pStyle w:val="FootnoteText"/>
      </w:pPr>
    </w:p>
  </w:footnote>
  <w:footnote w:id="16">
    <w:p w14:paraId="2D0571F9" w14:textId="58302233" w:rsidR="00BC57B5" w:rsidRPr="00F06256" w:rsidRDefault="00BC57B5" w:rsidP="00F06256">
      <w:pPr>
        <w:pStyle w:val="FootnoteText"/>
        <w:rPr>
          <w:rStyle w:val="Hyperlink"/>
          <w:color w:val="0070C0"/>
          <w:sz w:val="18"/>
          <w:szCs w:val="18"/>
        </w:rPr>
      </w:pPr>
      <w:r>
        <w:rPr>
          <w:rStyle w:val="FootnoteReference"/>
        </w:rPr>
        <w:footnoteRef/>
      </w:r>
      <w:r>
        <w:t xml:space="preserve"> </w:t>
      </w:r>
      <w:r w:rsidRPr="00F06256">
        <w:rPr>
          <w:rStyle w:val="Hyperlink"/>
          <w:color w:val="0070C0"/>
          <w:sz w:val="18"/>
          <w:szCs w:val="18"/>
        </w:rPr>
        <w:t>https://developer.digitalhealth.gov.au/user</w:t>
      </w:r>
    </w:p>
  </w:footnote>
  <w:footnote w:id="17">
    <w:p w14:paraId="04466E69" w14:textId="77777777" w:rsidR="00BC57B5" w:rsidRPr="009626FE" w:rsidRDefault="00BC57B5" w:rsidP="00F06256">
      <w:pPr>
        <w:pStyle w:val="FootnoteText"/>
        <w:spacing w:before="80"/>
        <w:rPr>
          <w:color w:val="0070C0"/>
          <w:sz w:val="18"/>
          <w:szCs w:val="18"/>
        </w:rPr>
      </w:pPr>
      <w:r w:rsidRPr="002C41C7">
        <w:rPr>
          <w:rStyle w:val="FootnoteReference"/>
          <w:sz w:val="18"/>
          <w:szCs w:val="18"/>
        </w:rPr>
        <w:footnoteRef/>
      </w:r>
      <w:r w:rsidRPr="002C41C7">
        <w:rPr>
          <w:sz w:val="18"/>
          <w:szCs w:val="18"/>
        </w:rPr>
        <w:t xml:space="preserve"> </w:t>
      </w:r>
      <w:hyperlink r:id="rId8" w:history="1">
        <w:r w:rsidRPr="009626FE">
          <w:rPr>
            <w:rStyle w:val="Hyperlink"/>
            <w:color w:val="0070C0"/>
            <w:sz w:val="18"/>
            <w:szCs w:val="18"/>
          </w:rPr>
          <w:t>https://dev.pbs.gov.au/embargo/index.html</w:t>
        </w:r>
      </w:hyperlink>
    </w:p>
  </w:footnote>
  <w:footnote w:id="18">
    <w:p w14:paraId="1D0668C5" w14:textId="77777777" w:rsidR="00BC57B5" w:rsidRPr="009626FE" w:rsidRDefault="00BC57B5" w:rsidP="009626FE">
      <w:pPr>
        <w:pStyle w:val="FootnoteText"/>
        <w:spacing w:before="80"/>
        <w:ind w:hanging="142"/>
        <w:rPr>
          <w:color w:val="0070C0"/>
          <w:sz w:val="18"/>
          <w:szCs w:val="18"/>
        </w:rPr>
      </w:pPr>
      <w:r w:rsidRPr="009626FE">
        <w:rPr>
          <w:rStyle w:val="FootnoteReference"/>
          <w:color w:val="0070C0"/>
          <w:sz w:val="18"/>
          <w:szCs w:val="18"/>
        </w:rPr>
        <w:footnoteRef/>
      </w:r>
      <w:r w:rsidRPr="009626FE">
        <w:rPr>
          <w:rStyle w:val="FootnoteReference"/>
          <w:color w:val="0070C0"/>
          <w:sz w:val="18"/>
          <w:szCs w:val="18"/>
        </w:rPr>
        <w:t xml:space="preserve"> </w:t>
      </w:r>
      <w:r w:rsidRPr="009626FE">
        <w:rPr>
          <w:rStyle w:val="FootnoteReference"/>
          <w:color w:val="0070C0"/>
          <w:sz w:val="18"/>
          <w:szCs w:val="18"/>
          <w:vertAlign w:val="baseline"/>
        </w:rPr>
        <w:t>A publication is available to MSIA members which describes in detail how the above text files may be simply processed to allow the items to be imported.</w:t>
      </w:r>
    </w:p>
  </w:footnote>
  <w:footnote w:id="19">
    <w:p w14:paraId="19EE1101" w14:textId="77777777" w:rsidR="00BC57B5" w:rsidRDefault="00BC57B5" w:rsidP="009626FE">
      <w:pPr>
        <w:pStyle w:val="FootnoteText"/>
        <w:spacing w:before="80"/>
        <w:ind w:left="567"/>
      </w:pPr>
      <w:r w:rsidRPr="009626FE">
        <w:rPr>
          <w:rStyle w:val="FootnoteReference"/>
          <w:color w:val="0070C0"/>
          <w:sz w:val="18"/>
          <w:szCs w:val="18"/>
        </w:rPr>
        <w:footnoteRef/>
      </w:r>
      <w:r w:rsidRPr="009626FE">
        <w:rPr>
          <w:color w:val="0070C0"/>
          <w:sz w:val="18"/>
          <w:szCs w:val="18"/>
        </w:rPr>
        <w:t xml:space="preserve"> </w:t>
      </w:r>
      <w:r w:rsidRPr="009626FE">
        <w:rPr>
          <w:rStyle w:val="Hyperlink"/>
          <w:color w:val="0070C0"/>
          <w:sz w:val="18"/>
          <w:szCs w:val="18"/>
        </w:rPr>
        <w:t>https://www.healthterminologies.gov.au/access</w:t>
      </w:r>
      <w:r w:rsidRPr="009626FE">
        <w:rPr>
          <w:color w:val="0070C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BD9F" w14:textId="77777777" w:rsidR="00C81816" w:rsidRDefault="00C81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1A62" w14:textId="77777777" w:rsidR="00BC57B5" w:rsidRPr="00A27381" w:rsidRDefault="00BC57B5" w:rsidP="006B491D">
    <w:pPr>
      <w:pStyle w:val="Header"/>
    </w:pPr>
    <w:r>
      <w:rPr>
        <w:noProof/>
        <w:lang w:eastAsia="en-AU"/>
      </w:rPr>
      <w:drawing>
        <wp:anchor distT="0" distB="0" distL="114300" distR="114300" simplePos="0" relativeHeight="251658240" behindDoc="0" locked="0" layoutInCell="1" allowOverlap="1" wp14:anchorId="6BD99DE5" wp14:editId="168B432B">
          <wp:simplePos x="0" y="0"/>
          <wp:positionH relativeFrom="column">
            <wp:posOffset>6767</wp:posOffset>
          </wp:positionH>
          <wp:positionV relativeFrom="paragraph">
            <wp:posOffset>-44592</wp:posOffset>
          </wp:positionV>
          <wp:extent cx="640715" cy="415387"/>
          <wp:effectExtent l="0" t="0" r="6985" b="3810"/>
          <wp:wrapNone/>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40715" cy="415387"/>
                  </a:xfrm>
                  <a:prstGeom prst="rect">
                    <a:avLst/>
                  </a:prstGeom>
                </pic:spPr>
              </pic:pic>
            </a:graphicData>
          </a:graphic>
          <wp14:sizeRelH relativeFrom="margin">
            <wp14:pctWidth>0</wp14:pctWidth>
          </wp14:sizeRelH>
          <wp14:sizeRelV relativeFrom="margin">
            <wp14:pctHeight>0</wp14:pctHeight>
          </wp14:sizeRelV>
        </wp:anchor>
      </w:drawing>
    </w:r>
    <w:r>
      <w:t>MSIA/</w:t>
    </w:r>
    <w:r w:rsidRPr="0061332E">
      <w:t xml:space="preserve">Department of Health </w:t>
    </w:r>
    <w:r w:rsidRPr="0061332E">
      <w:br/>
    </w:r>
    <w:r w:rsidRPr="00B430C5">
      <w:t>PBS</w:t>
    </w:r>
    <w:r>
      <w:t>/RPBS</w:t>
    </w:r>
    <w:r w:rsidRPr="00B430C5">
      <w:t xml:space="preserve"> Active Ingredient Prescribing</w:t>
    </w:r>
    <w:r w:rsidRPr="0061332E">
      <w:br/>
    </w:r>
    <w:r w:rsidRPr="00B430C5">
      <w:t>Vendor Resource Document</w:t>
    </w:r>
  </w:p>
  <w:p w14:paraId="061C2481" w14:textId="77777777" w:rsidR="00BC57B5" w:rsidRDefault="00BC57B5" w:rsidP="006B491D">
    <w:pPr>
      <w:pStyle w:val="Header"/>
    </w:pPr>
    <w:r>
      <w:rPr>
        <w:noProof/>
        <w:lang w:val="en-US" w:eastAsia="zh-TW"/>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AB86" w14:textId="77777777" w:rsidR="00C81816" w:rsidRDefault="00C81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6EDD" w14:textId="77777777" w:rsidR="00BC57B5" w:rsidRDefault="00BC57B5" w:rsidP="006B49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E9A8" w14:textId="73F24D25" w:rsidR="00BC57B5" w:rsidRPr="006B491D" w:rsidRDefault="00BC57B5" w:rsidP="006B491D">
    <w:pPr>
      <w:pStyle w:val="Header"/>
      <w:rPr>
        <w:sz w:val="16"/>
        <w:szCs w:val="16"/>
      </w:rPr>
    </w:pPr>
    <w:r>
      <w:rPr>
        <w:noProof/>
        <w:lang w:eastAsia="en-AU"/>
      </w:rPr>
      <w:drawing>
        <wp:anchor distT="0" distB="0" distL="114300" distR="114300" simplePos="0" relativeHeight="251660288" behindDoc="0" locked="0" layoutInCell="1" allowOverlap="1" wp14:anchorId="23238B9D" wp14:editId="702ECBEA">
          <wp:simplePos x="0" y="0"/>
          <wp:positionH relativeFrom="margin">
            <wp:posOffset>102358</wp:posOffset>
          </wp:positionH>
          <wp:positionV relativeFrom="paragraph">
            <wp:posOffset>-122564</wp:posOffset>
          </wp:positionV>
          <wp:extent cx="640715" cy="415387"/>
          <wp:effectExtent l="0" t="0" r="6985" b="3810"/>
          <wp:wrapNone/>
          <wp:docPr id="4" name="Picture" descr="MSIA Logo" title="MSIA Logo"/>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40715" cy="415387"/>
                  </a:xfrm>
                  <a:prstGeom prst="rect">
                    <a:avLst/>
                  </a:prstGeom>
                </pic:spPr>
              </pic:pic>
            </a:graphicData>
          </a:graphic>
          <wp14:sizeRelH relativeFrom="margin">
            <wp14:pctWidth>0</wp14:pctWidth>
          </wp14:sizeRelH>
          <wp14:sizeRelV relativeFrom="margin">
            <wp14:pctHeight>0</wp14:pctHeight>
          </wp14:sizeRelV>
        </wp:anchor>
      </w:drawing>
    </w:r>
    <w:r w:rsidRPr="006B491D">
      <w:t>PBS/RPBS Active Ingredient Prescribing VRD</w:t>
    </w:r>
  </w:p>
  <w:p w14:paraId="0E980C1D" w14:textId="77777777" w:rsidR="00BC57B5" w:rsidRPr="006B491D" w:rsidRDefault="00BC57B5" w:rsidP="006B491D">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CFAA" w14:textId="77777777" w:rsidR="00BC57B5" w:rsidRPr="006730E9" w:rsidRDefault="00BC57B5" w:rsidP="006B491D">
    <w:pPr>
      <w:pStyle w:val="Header"/>
    </w:pPr>
    <w:bookmarkStart w:id="3" w:name="_Hlk11144899"/>
    <w:r w:rsidRPr="007D2523">
      <w:rPr>
        <w:noProof/>
        <w:lang w:val="en-US" w:eastAsia="zh-TW"/>
      </w:rPr>
      <w:t>I</w:t>
    </w:r>
    <w:r>
      <w:rPr>
        <w:noProof/>
        <w:lang w:val="en-US" w:eastAsia="zh-TW"/>
      </w:rPr>
      <w:t>N</w:t>
    </w:r>
    <w:r w:rsidRPr="007D2523">
      <w:rPr>
        <w:noProof/>
        <w:lang w:val="en-US" w:eastAsia="zh-TW"/>
      </w:rPr>
      <w:t xml:space="preserve">N </w:t>
    </w:r>
    <w:r>
      <w:rPr>
        <w:noProof/>
        <w:lang w:val="en-US" w:eastAsia="zh-TW"/>
      </w:rPr>
      <w:t>Budget, Milestones and Dependencies</w:t>
    </w:r>
    <w:bookmarkEnd w:id="3"/>
    <w:r>
      <w:rPr>
        <w:noProof/>
        <w:lang w:val="en-US" w:eastAsia="zh-TW"/>
      </w:rPr>
      <w:tab/>
    </w:r>
    <w:r>
      <w:rPr>
        <w:noProof/>
        <w:lang w:eastAsia="en-AU"/>
      </w:rPr>
      <w:drawing>
        <wp:inline distT="0" distB="0" distL="0" distR="0" wp14:anchorId="779C8E87" wp14:editId="4C14BCF0">
          <wp:extent cx="713105" cy="4756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713105" cy="47561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691EF" w14:textId="77777777" w:rsidR="00BC57B5" w:rsidRDefault="00BC57B5" w:rsidP="006B49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4A07" w14:textId="77777777" w:rsidR="00BC57B5" w:rsidRPr="006730E9" w:rsidRDefault="00BC57B5" w:rsidP="006B491D">
    <w:pPr>
      <w:pStyle w:val="Header"/>
    </w:pPr>
    <w:r w:rsidRPr="007D2523">
      <w:rPr>
        <w:noProof/>
        <w:lang w:val="en-US" w:eastAsia="zh-TW"/>
      </w:rPr>
      <w:t>I</w:t>
    </w:r>
    <w:r>
      <w:rPr>
        <w:noProof/>
        <w:lang w:val="en-US" w:eastAsia="zh-TW"/>
      </w:rPr>
      <w:t>N</w:t>
    </w:r>
    <w:r w:rsidRPr="007D2523">
      <w:rPr>
        <w:noProof/>
        <w:lang w:val="en-US" w:eastAsia="zh-TW"/>
      </w:rPr>
      <w:t xml:space="preserve">N </w:t>
    </w:r>
    <w:r>
      <w:rPr>
        <w:noProof/>
        <w:lang w:val="en-US" w:eastAsia="zh-TW"/>
      </w:rPr>
      <w:t>Budget, Milestones and Dependencies</w:t>
    </w:r>
    <w:r>
      <w:rPr>
        <w:noProof/>
        <w:lang w:val="en-US" w:eastAsia="zh-TW"/>
      </w:rPr>
      <w:tab/>
    </w:r>
    <w:r>
      <w:rPr>
        <w:noProof/>
        <w:lang w:eastAsia="en-AU"/>
      </w:rPr>
      <w:drawing>
        <wp:inline distT="0" distB="0" distL="0" distR="0" wp14:anchorId="52A1329B" wp14:editId="0D1F41F9">
          <wp:extent cx="713105" cy="47561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713105" cy="475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3BD"/>
    <w:multiLevelType w:val="multilevel"/>
    <w:tmpl w:val="E0E8AD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9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234B33"/>
    <w:multiLevelType w:val="hybridMultilevel"/>
    <w:tmpl w:val="6BB45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A4BEB"/>
    <w:multiLevelType w:val="hybridMultilevel"/>
    <w:tmpl w:val="9DD6BEC2"/>
    <w:lvl w:ilvl="0" w:tplc="F176FB18">
      <w:start w:val="1"/>
      <w:numFmt w:val="lowerLetter"/>
      <w:pStyle w:val="CCS-NumberedList"/>
      <w:lvlText w:val="%1)"/>
      <w:lvlJc w:val="left"/>
      <w:pPr>
        <w:ind w:left="360" w:hanging="360"/>
      </w:pPr>
    </w:lvl>
    <w:lvl w:ilvl="1" w:tplc="900A4B16" w:tentative="1">
      <w:start w:val="1"/>
      <w:numFmt w:val="lowerLetter"/>
      <w:lvlText w:val="%2."/>
      <w:lvlJc w:val="left"/>
      <w:pPr>
        <w:ind w:left="1080" w:hanging="360"/>
      </w:pPr>
    </w:lvl>
    <w:lvl w:ilvl="2" w:tplc="138AE5E8" w:tentative="1">
      <w:start w:val="1"/>
      <w:numFmt w:val="lowerRoman"/>
      <w:lvlText w:val="%3."/>
      <w:lvlJc w:val="right"/>
      <w:pPr>
        <w:ind w:left="1800" w:hanging="180"/>
      </w:pPr>
    </w:lvl>
    <w:lvl w:ilvl="3" w:tplc="9B52458C" w:tentative="1">
      <w:start w:val="1"/>
      <w:numFmt w:val="decimal"/>
      <w:lvlText w:val="%4."/>
      <w:lvlJc w:val="left"/>
      <w:pPr>
        <w:ind w:left="2520" w:hanging="360"/>
      </w:pPr>
    </w:lvl>
    <w:lvl w:ilvl="4" w:tplc="68F4CD8E" w:tentative="1">
      <w:start w:val="1"/>
      <w:numFmt w:val="lowerLetter"/>
      <w:lvlText w:val="%5."/>
      <w:lvlJc w:val="left"/>
      <w:pPr>
        <w:ind w:left="3240" w:hanging="360"/>
      </w:pPr>
    </w:lvl>
    <w:lvl w:ilvl="5" w:tplc="3A5E782E" w:tentative="1">
      <w:start w:val="1"/>
      <w:numFmt w:val="lowerRoman"/>
      <w:lvlText w:val="%6."/>
      <w:lvlJc w:val="right"/>
      <w:pPr>
        <w:ind w:left="3960" w:hanging="180"/>
      </w:pPr>
    </w:lvl>
    <w:lvl w:ilvl="6" w:tplc="E162EE64" w:tentative="1">
      <w:start w:val="1"/>
      <w:numFmt w:val="decimal"/>
      <w:lvlText w:val="%7."/>
      <w:lvlJc w:val="left"/>
      <w:pPr>
        <w:ind w:left="4680" w:hanging="360"/>
      </w:pPr>
    </w:lvl>
    <w:lvl w:ilvl="7" w:tplc="386E3E50" w:tentative="1">
      <w:start w:val="1"/>
      <w:numFmt w:val="lowerLetter"/>
      <w:lvlText w:val="%8."/>
      <w:lvlJc w:val="left"/>
      <w:pPr>
        <w:ind w:left="5400" w:hanging="360"/>
      </w:pPr>
    </w:lvl>
    <w:lvl w:ilvl="8" w:tplc="10C6F9C8" w:tentative="1">
      <w:start w:val="1"/>
      <w:numFmt w:val="lowerRoman"/>
      <w:lvlText w:val="%9."/>
      <w:lvlJc w:val="right"/>
      <w:pPr>
        <w:ind w:left="6120" w:hanging="180"/>
      </w:pPr>
    </w:lvl>
  </w:abstractNum>
  <w:abstractNum w:abstractNumId="3" w15:restartNumberingAfterBreak="0">
    <w:nsid w:val="149A111D"/>
    <w:multiLevelType w:val="hybridMultilevel"/>
    <w:tmpl w:val="77268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6F38FC"/>
    <w:multiLevelType w:val="hybridMultilevel"/>
    <w:tmpl w:val="162CF6C0"/>
    <w:lvl w:ilvl="0" w:tplc="D51663FC">
      <w:start w:val="1"/>
      <w:numFmt w:val="bullet"/>
      <w:pStyle w:val="ListParagraph"/>
      <w:lvlText w:val=""/>
      <w:lvlJc w:val="left"/>
      <w:pPr>
        <w:ind w:left="502" w:hanging="360"/>
      </w:pPr>
      <w:rPr>
        <w:rFonts w:ascii="Symbol" w:hAnsi="Symbol" w:hint="default"/>
        <w:color w:val="0166AA"/>
      </w:rPr>
    </w:lvl>
    <w:lvl w:ilvl="1" w:tplc="6CFC83CC">
      <w:start w:val="1"/>
      <w:numFmt w:val="bullet"/>
      <w:lvlText w:val=""/>
      <w:lvlJc w:val="left"/>
      <w:pPr>
        <w:ind w:left="502" w:hanging="360"/>
      </w:pPr>
      <w:rPr>
        <w:rFonts w:ascii="Symbol" w:hAnsi="Symbol" w:hint="default"/>
        <w:color w:val="0166AA"/>
      </w:rPr>
    </w:lvl>
    <w:lvl w:ilvl="2" w:tplc="0C090005">
      <w:start w:val="1"/>
      <w:numFmt w:val="bullet"/>
      <w:lvlText w:val=""/>
      <w:lvlJc w:val="left"/>
      <w:pPr>
        <w:ind w:left="1222" w:hanging="360"/>
      </w:pPr>
      <w:rPr>
        <w:rFonts w:ascii="Wingdings" w:hAnsi="Wingdings" w:hint="default"/>
      </w:rPr>
    </w:lvl>
    <w:lvl w:ilvl="3" w:tplc="0C090001" w:tentative="1">
      <w:start w:val="1"/>
      <w:numFmt w:val="bullet"/>
      <w:lvlText w:val=""/>
      <w:lvlJc w:val="left"/>
      <w:pPr>
        <w:ind w:left="1942" w:hanging="360"/>
      </w:pPr>
      <w:rPr>
        <w:rFonts w:ascii="Symbol" w:hAnsi="Symbol" w:hint="default"/>
      </w:rPr>
    </w:lvl>
    <w:lvl w:ilvl="4" w:tplc="0C090003" w:tentative="1">
      <w:start w:val="1"/>
      <w:numFmt w:val="bullet"/>
      <w:lvlText w:val="o"/>
      <w:lvlJc w:val="left"/>
      <w:pPr>
        <w:ind w:left="2662" w:hanging="360"/>
      </w:pPr>
      <w:rPr>
        <w:rFonts w:ascii="Courier New" w:hAnsi="Courier New" w:cs="Courier New" w:hint="default"/>
      </w:rPr>
    </w:lvl>
    <w:lvl w:ilvl="5" w:tplc="0C090005" w:tentative="1">
      <w:start w:val="1"/>
      <w:numFmt w:val="bullet"/>
      <w:lvlText w:val=""/>
      <w:lvlJc w:val="left"/>
      <w:pPr>
        <w:ind w:left="3382" w:hanging="360"/>
      </w:pPr>
      <w:rPr>
        <w:rFonts w:ascii="Wingdings" w:hAnsi="Wingdings" w:hint="default"/>
      </w:rPr>
    </w:lvl>
    <w:lvl w:ilvl="6" w:tplc="0C090001" w:tentative="1">
      <w:start w:val="1"/>
      <w:numFmt w:val="bullet"/>
      <w:lvlText w:val=""/>
      <w:lvlJc w:val="left"/>
      <w:pPr>
        <w:ind w:left="4102" w:hanging="360"/>
      </w:pPr>
      <w:rPr>
        <w:rFonts w:ascii="Symbol" w:hAnsi="Symbol" w:hint="default"/>
      </w:rPr>
    </w:lvl>
    <w:lvl w:ilvl="7" w:tplc="0C090003" w:tentative="1">
      <w:start w:val="1"/>
      <w:numFmt w:val="bullet"/>
      <w:lvlText w:val="o"/>
      <w:lvlJc w:val="left"/>
      <w:pPr>
        <w:ind w:left="4822" w:hanging="360"/>
      </w:pPr>
      <w:rPr>
        <w:rFonts w:ascii="Courier New" w:hAnsi="Courier New" w:cs="Courier New" w:hint="default"/>
      </w:rPr>
    </w:lvl>
    <w:lvl w:ilvl="8" w:tplc="0C090005" w:tentative="1">
      <w:start w:val="1"/>
      <w:numFmt w:val="bullet"/>
      <w:lvlText w:val=""/>
      <w:lvlJc w:val="left"/>
      <w:pPr>
        <w:ind w:left="5542" w:hanging="360"/>
      </w:pPr>
      <w:rPr>
        <w:rFonts w:ascii="Wingdings" w:hAnsi="Wingdings" w:hint="default"/>
      </w:rPr>
    </w:lvl>
  </w:abstractNum>
  <w:abstractNum w:abstractNumId="5" w15:restartNumberingAfterBreak="0">
    <w:nsid w:val="1F4427F4"/>
    <w:multiLevelType w:val="hybridMultilevel"/>
    <w:tmpl w:val="D228C2E4"/>
    <w:lvl w:ilvl="0" w:tplc="D51663FC">
      <w:start w:val="1"/>
      <w:numFmt w:val="bullet"/>
      <w:lvlText w:val=""/>
      <w:lvlJc w:val="left"/>
      <w:pPr>
        <w:ind w:left="502" w:hanging="360"/>
      </w:pPr>
      <w:rPr>
        <w:rFonts w:ascii="Symbol" w:hAnsi="Symbol" w:hint="default"/>
        <w:color w:val="0166AA"/>
      </w:rPr>
    </w:lvl>
    <w:lvl w:ilvl="1" w:tplc="6CFC83CC">
      <w:start w:val="1"/>
      <w:numFmt w:val="bullet"/>
      <w:lvlText w:val=""/>
      <w:lvlJc w:val="left"/>
      <w:pPr>
        <w:ind w:left="502" w:hanging="360"/>
      </w:pPr>
      <w:rPr>
        <w:rFonts w:ascii="Symbol" w:hAnsi="Symbol" w:hint="default"/>
        <w:color w:val="0166AA"/>
      </w:rPr>
    </w:lvl>
    <w:lvl w:ilvl="2" w:tplc="0C090003">
      <w:start w:val="1"/>
      <w:numFmt w:val="bullet"/>
      <w:lvlText w:val="o"/>
      <w:lvlJc w:val="left"/>
      <w:pPr>
        <w:ind w:left="1222" w:hanging="360"/>
      </w:pPr>
      <w:rPr>
        <w:rFonts w:ascii="Courier New" w:hAnsi="Courier New" w:cs="Courier New" w:hint="default"/>
      </w:rPr>
    </w:lvl>
    <w:lvl w:ilvl="3" w:tplc="0C090001" w:tentative="1">
      <w:start w:val="1"/>
      <w:numFmt w:val="bullet"/>
      <w:lvlText w:val=""/>
      <w:lvlJc w:val="left"/>
      <w:pPr>
        <w:ind w:left="1942" w:hanging="360"/>
      </w:pPr>
      <w:rPr>
        <w:rFonts w:ascii="Symbol" w:hAnsi="Symbol" w:hint="default"/>
      </w:rPr>
    </w:lvl>
    <w:lvl w:ilvl="4" w:tplc="0C090003" w:tentative="1">
      <w:start w:val="1"/>
      <w:numFmt w:val="bullet"/>
      <w:lvlText w:val="o"/>
      <w:lvlJc w:val="left"/>
      <w:pPr>
        <w:ind w:left="2662" w:hanging="360"/>
      </w:pPr>
      <w:rPr>
        <w:rFonts w:ascii="Courier New" w:hAnsi="Courier New" w:cs="Courier New" w:hint="default"/>
      </w:rPr>
    </w:lvl>
    <w:lvl w:ilvl="5" w:tplc="0C090005" w:tentative="1">
      <w:start w:val="1"/>
      <w:numFmt w:val="bullet"/>
      <w:lvlText w:val=""/>
      <w:lvlJc w:val="left"/>
      <w:pPr>
        <w:ind w:left="3382" w:hanging="360"/>
      </w:pPr>
      <w:rPr>
        <w:rFonts w:ascii="Wingdings" w:hAnsi="Wingdings" w:hint="default"/>
      </w:rPr>
    </w:lvl>
    <w:lvl w:ilvl="6" w:tplc="0C090001" w:tentative="1">
      <w:start w:val="1"/>
      <w:numFmt w:val="bullet"/>
      <w:lvlText w:val=""/>
      <w:lvlJc w:val="left"/>
      <w:pPr>
        <w:ind w:left="4102" w:hanging="360"/>
      </w:pPr>
      <w:rPr>
        <w:rFonts w:ascii="Symbol" w:hAnsi="Symbol" w:hint="default"/>
      </w:rPr>
    </w:lvl>
    <w:lvl w:ilvl="7" w:tplc="0C090003" w:tentative="1">
      <w:start w:val="1"/>
      <w:numFmt w:val="bullet"/>
      <w:lvlText w:val="o"/>
      <w:lvlJc w:val="left"/>
      <w:pPr>
        <w:ind w:left="4822" w:hanging="360"/>
      </w:pPr>
      <w:rPr>
        <w:rFonts w:ascii="Courier New" w:hAnsi="Courier New" w:cs="Courier New" w:hint="default"/>
      </w:rPr>
    </w:lvl>
    <w:lvl w:ilvl="8" w:tplc="0C090005" w:tentative="1">
      <w:start w:val="1"/>
      <w:numFmt w:val="bullet"/>
      <w:lvlText w:val=""/>
      <w:lvlJc w:val="left"/>
      <w:pPr>
        <w:ind w:left="5542" w:hanging="360"/>
      </w:pPr>
      <w:rPr>
        <w:rFonts w:ascii="Wingdings" w:hAnsi="Wingdings" w:hint="default"/>
      </w:rPr>
    </w:lvl>
  </w:abstractNum>
  <w:abstractNum w:abstractNumId="6" w15:restartNumberingAfterBreak="0">
    <w:nsid w:val="39D55C6D"/>
    <w:multiLevelType w:val="multilevel"/>
    <w:tmpl w:val="358458D4"/>
    <w:lvl w:ilvl="0">
      <w:start w:val="5"/>
      <w:numFmt w:val="decimal"/>
      <w:lvlText w:val="%1"/>
      <w:lvlJc w:val="left"/>
      <w:pPr>
        <w:ind w:left="420" w:hanging="420"/>
      </w:pPr>
    </w:lvl>
    <w:lvl w:ilvl="1">
      <w:start w:val="6"/>
      <w:numFmt w:val="decimal"/>
      <w:lvlText w:val="%1.%2"/>
      <w:lvlJc w:val="left"/>
      <w:pPr>
        <w:ind w:left="1514" w:hanging="720"/>
      </w:pPr>
    </w:lvl>
    <w:lvl w:ilvl="2">
      <w:start w:val="1"/>
      <w:numFmt w:val="decimal"/>
      <w:lvlText w:val="%1.%2.%3"/>
      <w:lvlJc w:val="left"/>
      <w:pPr>
        <w:ind w:left="2668" w:hanging="1080"/>
      </w:pPr>
    </w:lvl>
    <w:lvl w:ilvl="3">
      <w:start w:val="1"/>
      <w:numFmt w:val="decimal"/>
      <w:lvlText w:val="%1.%2.%3.%4"/>
      <w:lvlJc w:val="left"/>
      <w:pPr>
        <w:ind w:left="3822" w:hanging="1440"/>
      </w:pPr>
    </w:lvl>
    <w:lvl w:ilvl="4">
      <w:start w:val="1"/>
      <w:numFmt w:val="decimal"/>
      <w:lvlText w:val="%1.%2.%3.%4.%5"/>
      <w:lvlJc w:val="left"/>
      <w:pPr>
        <w:ind w:left="4976" w:hanging="1800"/>
      </w:pPr>
    </w:lvl>
    <w:lvl w:ilvl="5">
      <w:start w:val="1"/>
      <w:numFmt w:val="decimal"/>
      <w:lvlText w:val="%1.%2.%3.%4.%5.%6"/>
      <w:lvlJc w:val="left"/>
      <w:pPr>
        <w:ind w:left="5770" w:hanging="1800"/>
      </w:pPr>
    </w:lvl>
    <w:lvl w:ilvl="6">
      <w:start w:val="1"/>
      <w:numFmt w:val="decimal"/>
      <w:lvlText w:val="%1.%2.%3.%4.%5.%6.%7"/>
      <w:lvlJc w:val="left"/>
      <w:pPr>
        <w:ind w:left="6924" w:hanging="2160"/>
      </w:pPr>
    </w:lvl>
    <w:lvl w:ilvl="7">
      <w:start w:val="1"/>
      <w:numFmt w:val="decimal"/>
      <w:lvlText w:val="%1.%2.%3.%4.%5.%6.%7.%8"/>
      <w:lvlJc w:val="left"/>
      <w:pPr>
        <w:ind w:left="8078" w:hanging="2520"/>
      </w:pPr>
    </w:lvl>
    <w:lvl w:ilvl="8">
      <w:start w:val="1"/>
      <w:numFmt w:val="decimal"/>
      <w:lvlText w:val="%1.%2.%3.%4.%5.%6.%7.%8.%9"/>
      <w:lvlJc w:val="left"/>
      <w:pPr>
        <w:ind w:left="9232" w:hanging="2880"/>
      </w:pPr>
    </w:lvl>
  </w:abstractNum>
  <w:abstractNum w:abstractNumId="7" w15:restartNumberingAfterBreak="0">
    <w:nsid w:val="3E1436A6"/>
    <w:multiLevelType w:val="hybridMultilevel"/>
    <w:tmpl w:val="6E3A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280E07"/>
    <w:multiLevelType w:val="hybridMultilevel"/>
    <w:tmpl w:val="958C7ECE"/>
    <w:lvl w:ilvl="0" w:tplc="08A6247E">
      <w:numFmt w:val="bullet"/>
      <w:lvlText w:val="•"/>
      <w:lvlJc w:val="left"/>
      <w:pPr>
        <w:ind w:left="1140" w:hanging="360"/>
      </w:pPr>
      <w:rPr>
        <w:rFonts w:ascii="Times New Roman" w:eastAsia="Times New Roman" w:hAnsi="Times New Roman" w:cs="Times New Roman" w:hint="default"/>
        <w:w w:val="103"/>
        <w:sz w:val="23"/>
        <w:szCs w:val="23"/>
      </w:rPr>
    </w:lvl>
    <w:lvl w:ilvl="1" w:tplc="3BCA2FBC">
      <w:numFmt w:val="bullet"/>
      <w:lvlText w:val="•"/>
      <w:lvlJc w:val="left"/>
      <w:pPr>
        <w:ind w:left="2082" w:hanging="360"/>
      </w:pPr>
      <w:rPr>
        <w:rFonts w:hint="default"/>
      </w:rPr>
    </w:lvl>
    <w:lvl w:ilvl="2" w:tplc="84F0545C">
      <w:numFmt w:val="bullet"/>
      <w:lvlText w:val="•"/>
      <w:lvlJc w:val="left"/>
      <w:pPr>
        <w:ind w:left="3024" w:hanging="360"/>
      </w:pPr>
      <w:rPr>
        <w:rFonts w:hint="default"/>
      </w:rPr>
    </w:lvl>
    <w:lvl w:ilvl="3" w:tplc="E04AFF08">
      <w:numFmt w:val="bullet"/>
      <w:lvlText w:val="•"/>
      <w:lvlJc w:val="left"/>
      <w:pPr>
        <w:ind w:left="3967" w:hanging="360"/>
      </w:pPr>
      <w:rPr>
        <w:rFonts w:hint="default"/>
      </w:rPr>
    </w:lvl>
    <w:lvl w:ilvl="4" w:tplc="95FEC5DA">
      <w:numFmt w:val="bullet"/>
      <w:lvlText w:val="•"/>
      <w:lvlJc w:val="left"/>
      <w:pPr>
        <w:ind w:left="4909" w:hanging="360"/>
      </w:pPr>
      <w:rPr>
        <w:rFonts w:hint="default"/>
      </w:rPr>
    </w:lvl>
    <w:lvl w:ilvl="5" w:tplc="BBD436A0">
      <w:numFmt w:val="bullet"/>
      <w:lvlText w:val="•"/>
      <w:lvlJc w:val="left"/>
      <w:pPr>
        <w:ind w:left="5852" w:hanging="360"/>
      </w:pPr>
      <w:rPr>
        <w:rFonts w:hint="default"/>
      </w:rPr>
    </w:lvl>
    <w:lvl w:ilvl="6" w:tplc="17045500">
      <w:numFmt w:val="bullet"/>
      <w:lvlText w:val="•"/>
      <w:lvlJc w:val="left"/>
      <w:pPr>
        <w:ind w:left="6794" w:hanging="360"/>
      </w:pPr>
      <w:rPr>
        <w:rFonts w:hint="default"/>
      </w:rPr>
    </w:lvl>
    <w:lvl w:ilvl="7" w:tplc="3872CC2E">
      <w:numFmt w:val="bullet"/>
      <w:lvlText w:val="•"/>
      <w:lvlJc w:val="left"/>
      <w:pPr>
        <w:ind w:left="7736" w:hanging="360"/>
      </w:pPr>
      <w:rPr>
        <w:rFonts w:hint="default"/>
      </w:rPr>
    </w:lvl>
    <w:lvl w:ilvl="8" w:tplc="BEFA258A">
      <w:numFmt w:val="bullet"/>
      <w:lvlText w:val="•"/>
      <w:lvlJc w:val="left"/>
      <w:pPr>
        <w:ind w:left="8679" w:hanging="360"/>
      </w:pPr>
      <w:rPr>
        <w:rFonts w:hint="default"/>
      </w:rPr>
    </w:lvl>
  </w:abstractNum>
  <w:abstractNum w:abstractNumId="9" w15:restartNumberingAfterBreak="0">
    <w:nsid w:val="47890C35"/>
    <w:multiLevelType w:val="hybridMultilevel"/>
    <w:tmpl w:val="E08CE1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977C2E"/>
    <w:multiLevelType w:val="hybridMultilevel"/>
    <w:tmpl w:val="682499FC"/>
    <w:lvl w:ilvl="0" w:tplc="0C090003">
      <w:start w:val="1"/>
      <w:numFmt w:val="bullet"/>
      <w:lvlText w:val="o"/>
      <w:lvlJc w:val="left"/>
      <w:pPr>
        <w:ind w:left="862" w:hanging="360"/>
      </w:pPr>
      <w:rPr>
        <w:rFonts w:ascii="Courier New" w:hAnsi="Courier New" w:cs="Courier New" w:hint="default"/>
        <w:color w:val="0166AA"/>
      </w:rPr>
    </w:lvl>
    <w:lvl w:ilvl="1" w:tplc="6CFC83CC">
      <w:start w:val="1"/>
      <w:numFmt w:val="bullet"/>
      <w:lvlText w:val=""/>
      <w:lvlJc w:val="left"/>
      <w:pPr>
        <w:ind w:left="862" w:hanging="360"/>
      </w:pPr>
      <w:rPr>
        <w:rFonts w:ascii="Symbol" w:hAnsi="Symbol" w:hint="default"/>
        <w:color w:val="0166AA"/>
      </w:rPr>
    </w:lvl>
    <w:lvl w:ilvl="2" w:tplc="0C090005">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11" w15:restartNumberingAfterBreak="0">
    <w:nsid w:val="4E083DF5"/>
    <w:multiLevelType w:val="hybridMultilevel"/>
    <w:tmpl w:val="485097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BC7F65"/>
    <w:multiLevelType w:val="hybridMultilevel"/>
    <w:tmpl w:val="55A05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9D04A2"/>
    <w:multiLevelType w:val="hybridMultilevel"/>
    <w:tmpl w:val="E1C2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E54513"/>
    <w:multiLevelType w:val="hybridMultilevel"/>
    <w:tmpl w:val="409CF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982826"/>
    <w:multiLevelType w:val="hybridMultilevel"/>
    <w:tmpl w:val="E38E65F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27D6F47"/>
    <w:multiLevelType w:val="hybridMultilevel"/>
    <w:tmpl w:val="6AFE1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284BDB"/>
    <w:multiLevelType w:val="hybridMultilevel"/>
    <w:tmpl w:val="A8D44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15"/>
  </w:num>
  <w:num w:numId="6">
    <w:abstractNumId w:val="3"/>
  </w:num>
  <w:num w:numId="7">
    <w:abstractNumId w:val="8"/>
  </w:num>
  <w:num w:numId="8">
    <w:abstractNumId w:val="17"/>
  </w:num>
  <w:num w:numId="9">
    <w:abstractNumId w:val="14"/>
  </w:num>
  <w:num w:numId="10">
    <w:abstractNumId w:val="4"/>
  </w:num>
  <w:num w:numId="11">
    <w:abstractNumId w:val="4"/>
  </w:num>
  <w:num w:numId="12">
    <w:abstractNumId w:val="5"/>
  </w:num>
  <w:num w:numId="13">
    <w:abstractNumId w:val="4"/>
  </w:num>
  <w:num w:numId="14">
    <w:abstractNumId w:val="4"/>
  </w:num>
  <w:num w:numId="15">
    <w:abstractNumId w:val="10"/>
  </w:num>
  <w:num w:numId="16">
    <w:abstractNumId w:val="12"/>
  </w:num>
  <w:num w:numId="17">
    <w:abstractNumId w:val="13"/>
  </w:num>
  <w:num w:numId="18">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num>
  <w:num w:numId="21">
    <w:abstractNumId w:val="16"/>
  </w:num>
  <w:num w:numId="22">
    <w:abstractNumId w:val="11"/>
  </w:num>
  <w:num w:numId="23">
    <w:abstractNumId w:val="0"/>
  </w:num>
  <w:num w:numId="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3E40B21-19C5-4D4C-B756-628C84DF5AE3}"/>
    <w:docVar w:name="dgnword-eventsink" w:val="352770880"/>
    <w:docVar w:name="dgnword-lastRevisionsView" w:val="0"/>
  </w:docVars>
  <w:rsids>
    <w:rsidRoot w:val="00950636"/>
    <w:rsid w:val="0000140C"/>
    <w:rsid w:val="0000235D"/>
    <w:rsid w:val="00002368"/>
    <w:rsid w:val="00002779"/>
    <w:rsid w:val="0000552F"/>
    <w:rsid w:val="00006CD3"/>
    <w:rsid w:val="00012758"/>
    <w:rsid w:val="0001618E"/>
    <w:rsid w:val="000233D6"/>
    <w:rsid w:val="00023EDF"/>
    <w:rsid w:val="000250BC"/>
    <w:rsid w:val="00025447"/>
    <w:rsid w:val="0002675A"/>
    <w:rsid w:val="00026BA2"/>
    <w:rsid w:val="00030713"/>
    <w:rsid w:val="0003120C"/>
    <w:rsid w:val="000327C9"/>
    <w:rsid w:val="00033D66"/>
    <w:rsid w:val="00035339"/>
    <w:rsid w:val="000363B1"/>
    <w:rsid w:val="000369B8"/>
    <w:rsid w:val="00036C6C"/>
    <w:rsid w:val="00040589"/>
    <w:rsid w:val="00044FE0"/>
    <w:rsid w:val="00047009"/>
    <w:rsid w:val="0004705D"/>
    <w:rsid w:val="00054063"/>
    <w:rsid w:val="00054E46"/>
    <w:rsid w:val="000569E8"/>
    <w:rsid w:val="00060B60"/>
    <w:rsid w:val="0006250E"/>
    <w:rsid w:val="000645BB"/>
    <w:rsid w:val="00064D19"/>
    <w:rsid w:val="00067B18"/>
    <w:rsid w:val="00067E79"/>
    <w:rsid w:val="0007168A"/>
    <w:rsid w:val="000737F0"/>
    <w:rsid w:val="000747C6"/>
    <w:rsid w:val="00080040"/>
    <w:rsid w:val="000813E5"/>
    <w:rsid w:val="00083524"/>
    <w:rsid w:val="0008512F"/>
    <w:rsid w:val="000A077F"/>
    <w:rsid w:val="000A1AA9"/>
    <w:rsid w:val="000A2690"/>
    <w:rsid w:val="000A29FE"/>
    <w:rsid w:val="000A458A"/>
    <w:rsid w:val="000A476C"/>
    <w:rsid w:val="000A5BAB"/>
    <w:rsid w:val="000B30C2"/>
    <w:rsid w:val="000B7308"/>
    <w:rsid w:val="000C13C3"/>
    <w:rsid w:val="000C2445"/>
    <w:rsid w:val="000C36C8"/>
    <w:rsid w:val="000C729B"/>
    <w:rsid w:val="000C786E"/>
    <w:rsid w:val="000C7A8C"/>
    <w:rsid w:val="000D05B6"/>
    <w:rsid w:val="000D0889"/>
    <w:rsid w:val="000D09D8"/>
    <w:rsid w:val="000D0CA3"/>
    <w:rsid w:val="000D109F"/>
    <w:rsid w:val="000D5B90"/>
    <w:rsid w:val="000D7465"/>
    <w:rsid w:val="000D7863"/>
    <w:rsid w:val="000E1C81"/>
    <w:rsid w:val="000E7DF1"/>
    <w:rsid w:val="000F0C37"/>
    <w:rsid w:val="000F20A6"/>
    <w:rsid w:val="000F3F11"/>
    <w:rsid w:val="000F4F9D"/>
    <w:rsid w:val="001007C5"/>
    <w:rsid w:val="00103966"/>
    <w:rsid w:val="00104C09"/>
    <w:rsid w:val="00114D09"/>
    <w:rsid w:val="00115CA6"/>
    <w:rsid w:val="0011675B"/>
    <w:rsid w:val="00116CA1"/>
    <w:rsid w:val="00117D66"/>
    <w:rsid w:val="00121D29"/>
    <w:rsid w:val="001220AE"/>
    <w:rsid w:val="00126855"/>
    <w:rsid w:val="00126E14"/>
    <w:rsid w:val="00130BFA"/>
    <w:rsid w:val="00132DF0"/>
    <w:rsid w:val="00132E4D"/>
    <w:rsid w:val="00133502"/>
    <w:rsid w:val="00142152"/>
    <w:rsid w:val="00142298"/>
    <w:rsid w:val="0014333B"/>
    <w:rsid w:val="0014375B"/>
    <w:rsid w:val="00143B45"/>
    <w:rsid w:val="001451CA"/>
    <w:rsid w:val="00152895"/>
    <w:rsid w:val="001535A3"/>
    <w:rsid w:val="00153803"/>
    <w:rsid w:val="00155D57"/>
    <w:rsid w:val="001574F5"/>
    <w:rsid w:val="00160B71"/>
    <w:rsid w:val="00161531"/>
    <w:rsid w:val="0016202C"/>
    <w:rsid w:val="001628D5"/>
    <w:rsid w:val="001644E1"/>
    <w:rsid w:val="00165454"/>
    <w:rsid w:val="00167BEC"/>
    <w:rsid w:val="00170C31"/>
    <w:rsid w:val="00170F71"/>
    <w:rsid w:val="0017103D"/>
    <w:rsid w:val="00171489"/>
    <w:rsid w:val="0017297C"/>
    <w:rsid w:val="0018390D"/>
    <w:rsid w:val="00184039"/>
    <w:rsid w:val="00184E67"/>
    <w:rsid w:val="00186703"/>
    <w:rsid w:val="00186CB3"/>
    <w:rsid w:val="00187C8A"/>
    <w:rsid w:val="00191282"/>
    <w:rsid w:val="0019273E"/>
    <w:rsid w:val="001927E0"/>
    <w:rsid w:val="00196847"/>
    <w:rsid w:val="001A2C20"/>
    <w:rsid w:val="001A3EE0"/>
    <w:rsid w:val="001A6CA6"/>
    <w:rsid w:val="001B09C9"/>
    <w:rsid w:val="001B2242"/>
    <w:rsid w:val="001B23F4"/>
    <w:rsid w:val="001B404C"/>
    <w:rsid w:val="001B5F84"/>
    <w:rsid w:val="001C1688"/>
    <w:rsid w:val="001C1E38"/>
    <w:rsid w:val="001C7DFC"/>
    <w:rsid w:val="001D02F0"/>
    <w:rsid w:val="001D0948"/>
    <w:rsid w:val="001D3FD7"/>
    <w:rsid w:val="001D5B54"/>
    <w:rsid w:val="001D5F68"/>
    <w:rsid w:val="001D6AE8"/>
    <w:rsid w:val="001E26AE"/>
    <w:rsid w:val="001F13F1"/>
    <w:rsid w:val="001F2631"/>
    <w:rsid w:val="001F47C6"/>
    <w:rsid w:val="001F6473"/>
    <w:rsid w:val="001F68F8"/>
    <w:rsid w:val="00200AC0"/>
    <w:rsid w:val="00201E39"/>
    <w:rsid w:val="00203E9D"/>
    <w:rsid w:val="00203FE5"/>
    <w:rsid w:val="0020577C"/>
    <w:rsid w:val="002105AA"/>
    <w:rsid w:val="00210E48"/>
    <w:rsid w:val="0021150B"/>
    <w:rsid w:val="002140FD"/>
    <w:rsid w:val="00214774"/>
    <w:rsid w:val="002164B0"/>
    <w:rsid w:val="00217D82"/>
    <w:rsid w:val="00224549"/>
    <w:rsid w:val="00225613"/>
    <w:rsid w:val="0022759D"/>
    <w:rsid w:val="00227E6F"/>
    <w:rsid w:val="00230B13"/>
    <w:rsid w:val="0023383C"/>
    <w:rsid w:val="00235319"/>
    <w:rsid w:val="002353E4"/>
    <w:rsid w:val="00242568"/>
    <w:rsid w:val="0024329C"/>
    <w:rsid w:val="00243796"/>
    <w:rsid w:val="00244D37"/>
    <w:rsid w:val="00251CA4"/>
    <w:rsid w:val="00252A9F"/>
    <w:rsid w:val="00253429"/>
    <w:rsid w:val="00254421"/>
    <w:rsid w:val="00256A4D"/>
    <w:rsid w:val="00257572"/>
    <w:rsid w:val="00265412"/>
    <w:rsid w:val="0026575F"/>
    <w:rsid w:val="0026788E"/>
    <w:rsid w:val="002679B3"/>
    <w:rsid w:val="00271C86"/>
    <w:rsid w:val="002737F2"/>
    <w:rsid w:val="00273EBF"/>
    <w:rsid w:val="00274699"/>
    <w:rsid w:val="00275476"/>
    <w:rsid w:val="00275803"/>
    <w:rsid w:val="0027591C"/>
    <w:rsid w:val="00281B9E"/>
    <w:rsid w:val="002859EE"/>
    <w:rsid w:val="00293917"/>
    <w:rsid w:val="00297445"/>
    <w:rsid w:val="002A2D89"/>
    <w:rsid w:val="002A336B"/>
    <w:rsid w:val="002A4B50"/>
    <w:rsid w:val="002A5A59"/>
    <w:rsid w:val="002A67EE"/>
    <w:rsid w:val="002A69A2"/>
    <w:rsid w:val="002B12E6"/>
    <w:rsid w:val="002B5C25"/>
    <w:rsid w:val="002B6B15"/>
    <w:rsid w:val="002B742F"/>
    <w:rsid w:val="002B7AD4"/>
    <w:rsid w:val="002C2AD9"/>
    <w:rsid w:val="002C30C6"/>
    <w:rsid w:val="002C3255"/>
    <w:rsid w:val="002C38EE"/>
    <w:rsid w:val="002C3CA1"/>
    <w:rsid w:val="002C3E77"/>
    <w:rsid w:val="002C3FFF"/>
    <w:rsid w:val="002C41C7"/>
    <w:rsid w:val="002C4ADA"/>
    <w:rsid w:val="002C5524"/>
    <w:rsid w:val="002D08AA"/>
    <w:rsid w:val="002D0A1E"/>
    <w:rsid w:val="002D1EF2"/>
    <w:rsid w:val="002D2E91"/>
    <w:rsid w:val="002D3416"/>
    <w:rsid w:val="002D34DD"/>
    <w:rsid w:val="002D3DCB"/>
    <w:rsid w:val="002D45AB"/>
    <w:rsid w:val="002D6368"/>
    <w:rsid w:val="002E0198"/>
    <w:rsid w:val="002E77FD"/>
    <w:rsid w:val="002F18D3"/>
    <w:rsid w:val="002F2D32"/>
    <w:rsid w:val="002F2DC4"/>
    <w:rsid w:val="002F3C78"/>
    <w:rsid w:val="002F3DE3"/>
    <w:rsid w:val="002F5491"/>
    <w:rsid w:val="002F5E3B"/>
    <w:rsid w:val="002F6FBE"/>
    <w:rsid w:val="0030150B"/>
    <w:rsid w:val="0030440B"/>
    <w:rsid w:val="003068B1"/>
    <w:rsid w:val="00312A32"/>
    <w:rsid w:val="003142DB"/>
    <w:rsid w:val="00314B0D"/>
    <w:rsid w:val="003166DA"/>
    <w:rsid w:val="003175EC"/>
    <w:rsid w:val="00317708"/>
    <w:rsid w:val="00324349"/>
    <w:rsid w:val="0032489A"/>
    <w:rsid w:val="00324CE5"/>
    <w:rsid w:val="00324EB3"/>
    <w:rsid w:val="00325634"/>
    <w:rsid w:val="003260B4"/>
    <w:rsid w:val="003269C5"/>
    <w:rsid w:val="0032747A"/>
    <w:rsid w:val="003277B8"/>
    <w:rsid w:val="00330F95"/>
    <w:rsid w:val="0033210E"/>
    <w:rsid w:val="0033387E"/>
    <w:rsid w:val="0033465C"/>
    <w:rsid w:val="00335F01"/>
    <w:rsid w:val="00336F1D"/>
    <w:rsid w:val="003467EB"/>
    <w:rsid w:val="00346DC9"/>
    <w:rsid w:val="00356AEB"/>
    <w:rsid w:val="00357CCD"/>
    <w:rsid w:val="00367315"/>
    <w:rsid w:val="0036744F"/>
    <w:rsid w:val="0037194A"/>
    <w:rsid w:val="0037441F"/>
    <w:rsid w:val="00375D6F"/>
    <w:rsid w:val="00381ECE"/>
    <w:rsid w:val="00381F24"/>
    <w:rsid w:val="00382BA4"/>
    <w:rsid w:val="003839EA"/>
    <w:rsid w:val="00385737"/>
    <w:rsid w:val="0038617C"/>
    <w:rsid w:val="003863C4"/>
    <w:rsid w:val="0038797E"/>
    <w:rsid w:val="00391D57"/>
    <w:rsid w:val="00391D86"/>
    <w:rsid w:val="00392F37"/>
    <w:rsid w:val="003964FA"/>
    <w:rsid w:val="003A01E3"/>
    <w:rsid w:val="003A3079"/>
    <w:rsid w:val="003A3BDF"/>
    <w:rsid w:val="003A63BB"/>
    <w:rsid w:val="003A7374"/>
    <w:rsid w:val="003B1271"/>
    <w:rsid w:val="003B2AAD"/>
    <w:rsid w:val="003B51D4"/>
    <w:rsid w:val="003B7571"/>
    <w:rsid w:val="003C2FBB"/>
    <w:rsid w:val="003C3566"/>
    <w:rsid w:val="003C38AE"/>
    <w:rsid w:val="003C6BD5"/>
    <w:rsid w:val="003D39E9"/>
    <w:rsid w:val="003D733C"/>
    <w:rsid w:val="003E0061"/>
    <w:rsid w:val="003E5765"/>
    <w:rsid w:val="003E66C6"/>
    <w:rsid w:val="003E6BB2"/>
    <w:rsid w:val="003E71EC"/>
    <w:rsid w:val="003F0390"/>
    <w:rsid w:val="003F20E4"/>
    <w:rsid w:val="003F3613"/>
    <w:rsid w:val="003F741D"/>
    <w:rsid w:val="003F7592"/>
    <w:rsid w:val="00400681"/>
    <w:rsid w:val="00401BA6"/>
    <w:rsid w:val="004021E2"/>
    <w:rsid w:val="00404127"/>
    <w:rsid w:val="00404B5E"/>
    <w:rsid w:val="00405085"/>
    <w:rsid w:val="00405EBA"/>
    <w:rsid w:val="0040719C"/>
    <w:rsid w:val="004074CA"/>
    <w:rsid w:val="00407775"/>
    <w:rsid w:val="004139CF"/>
    <w:rsid w:val="00417BF1"/>
    <w:rsid w:val="00420C48"/>
    <w:rsid w:val="00422BD1"/>
    <w:rsid w:val="00422C01"/>
    <w:rsid w:val="00423DEC"/>
    <w:rsid w:val="00427728"/>
    <w:rsid w:val="00430B62"/>
    <w:rsid w:val="00432E47"/>
    <w:rsid w:val="00444992"/>
    <w:rsid w:val="004466A1"/>
    <w:rsid w:val="00447E24"/>
    <w:rsid w:val="004516D3"/>
    <w:rsid w:val="00452487"/>
    <w:rsid w:val="00454DC6"/>
    <w:rsid w:val="00457A7C"/>
    <w:rsid w:val="00460E30"/>
    <w:rsid w:val="00462088"/>
    <w:rsid w:val="004649FB"/>
    <w:rsid w:val="004671AA"/>
    <w:rsid w:val="00470646"/>
    <w:rsid w:val="004710FA"/>
    <w:rsid w:val="00473F87"/>
    <w:rsid w:val="00475640"/>
    <w:rsid w:val="00475764"/>
    <w:rsid w:val="00476F8F"/>
    <w:rsid w:val="00481D03"/>
    <w:rsid w:val="004831C0"/>
    <w:rsid w:val="0048511F"/>
    <w:rsid w:val="00493630"/>
    <w:rsid w:val="0049561A"/>
    <w:rsid w:val="0049615C"/>
    <w:rsid w:val="00497612"/>
    <w:rsid w:val="004A051D"/>
    <w:rsid w:val="004A074C"/>
    <w:rsid w:val="004A3288"/>
    <w:rsid w:val="004A44F4"/>
    <w:rsid w:val="004A57D7"/>
    <w:rsid w:val="004B2CF5"/>
    <w:rsid w:val="004B30F6"/>
    <w:rsid w:val="004B75B1"/>
    <w:rsid w:val="004B7C83"/>
    <w:rsid w:val="004C196E"/>
    <w:rsid w:val="004C2FB7"/>
    <w:rsid w:val="004C6565"/>
    <w:rsid w:val="004C7687"/>
    <w:rsid w:val="004D57EB"/>
    <w:rsid w:val="004D70AA"/>
    <w:rsid w:val="004E0022"/>
    <w:rsid w:val="004E38BD"/>
    <w:rsid w:val="004E75D3"/>
    <w:rsid w:val="004F08B0"/>
    <w:rsid w:val="004F1243"/>
    <w:rsid w:val="004F5CEC"/>
    <w:rsid w:val="004F6164"/>
    <w:rsid w:val="00501271"/>
    <w:rsid w:val="0050223B"/>
    <w:rsid w:val="00504326"/>
    <w:rsid w:val="005124AB"/>
    <w:rsid w:val="00512B4C"/>
    <w:rsid w:val="005130F4"/>
    <w:rsid w:val="00516CCE"/>
    <w:rsid w:val="005204E5"/>
    <w:rsid w:val="0052119C"/>
    <w:rsid w:val="00521C1F"/>
    <w:rsid w:val="00522D25"/>
    <w:rsid w:val="00530003"/>
    <w:rsid w:val="00530FEE"/>
    <w:rsid w:val="0053351E"/>
    <w:rsid w:val="00534009"/>
    <w:rsid w:val="00534213"/>
    <w:rsid w:val="0053482D"/>
    <w:rsid w:val="0053552E"/>
    <w:rsid w:val="005365A8"/>
    <w:rsid w:val="00537B1F"/>
    <w:rsid w:val="00544F0B"/>
    <w:rsid w:val="005462F1"/>
    <w:rsid w:val="00546478"/>
    <w:rsid w:val="00546645"/>
    <w:rsid w:val="00547DA1"/>
    <w:rsid w:val="00550658"/>
    <w:rsid w:val="0055141E"/>
    <w:rsid w:val="00551685"/>
    <w:rsid w:val="00552CA4"/>
    <w:rsid w:val="00552EDF"/>
    <w:rsid w:val="0055499F"/>
    <w:rsid w:val="005565B3"/>
    <w:rsid w:val="005668CE"/>
    <w:rsid w:val="00567651"/>
    <w:rsid w:val="00570143"/>
    <w:rsid w:val="00574F1E"/>
    <w:rsid w:val="005836EB"/>
    <w:rsid w:val="00585CD4"/>
    <w:rsid w:val="00591488"/>
    <w:rsid w:val="00593ABE"/>
    <w:rsid w:val="00594D3E"/>
    <w:rsid w:val="00595818"/>
    <w:rsid w:val="00596EC6"/>
    <w:rsid w:val="005A3CFD"/>
    <w:rsid w:val="005A3EC8"/>
    <w:rsid w:val="005A51E8"/>
    <w:rsid w:val="005A607B"/>
    <w:rsid w:val="005B1F80"/>
    <w:rsid w:val="005C5AEB"/>
    <w:rsid w:val="005C63DA"/>
    <w:rsid w:val="005C7EE2"/>
    <w:rsid w:val="005D56F4"/>
    <w:rsid w:val="005D5E8A"/>
    <w:rsid w:val="005D6301"/>
    <w:rsid w:val="005D71FC"/>
    <w:rsid w:val="005E051C"/>
    <w:rsid w:val="005E093C"/>
    <w:rsid w:val="005E1BDB"/>
    <w:rsid w:val="005E3E4B"/>
    <w:rsid w:val="005E48D3"/>
    <w:rsid w:val="005E4CCA"/>
    <w:rsid w:val="005E55DF"/>
    <w:rsid w:val="005E5EA5"/>
    <w:rsid w:val="005E7A70"/>
    <w:rsid w:val="005F0293"/>
    <w:rsid w:val="005F09F6"/>
    <w:rsid w:val="005F237C"/>
    <w:rsid w:val="005F2773"/>
    <w:rsid w:val="005F434E"/>
    <w:rsid w:val="005F5F30"/>
    <w:rsid w:val="005F663D"/>
    <w:rsid w:val="005F7C43"/>
    <w:rsid w:val="00601380"/>
    <w:rsid w:val="00601935"/>
    <w:rsid w:val="00604F2A"/>
    <w:rsid w:val="00611DDA"/>
    <w:rsid w:val="00612146"/>
    <w:rsid w:val="006130A4"/>
    <w:rsid w:val="006130E1"/>
    <w:rsid w:val="00613251"/>
    <w:rsid w:val="0061332E"/>
    <w:rsid w:val="0061371B"/>
    <w:rsid w:val="00620895"/>
    <w:rsid w:val="0062222A"/>
    <w:rsid w:val="006225C2"/>
    <w:rsid w:val="00622E84"/>
    <w:rsid w:val="00623AAB"/>
    <w:rsid w:val="0062437D"/>
    <w:rsid w:val="0063062D"/>
    <w:rsid w:val="0063488D"/>
    <w:rsid w:val="00634B49"/>
    <w:rsid w:val="00636895"/>
    <w:rsid w:val="00643505"/>
    <w:rsid w:val="00644DC5"/>
    <w:rsid w:val="00645104"/>
    <w:rsid w:val="00646C54"/>
    <w:rsid w:val="006525EF"/>
    <w:rsid w:val="00653E17"/>
    <w:rsid w:val="0065460F"/>
    <w:rsid w:val="00654FD2"/>
    <w:rsid w:val="00655A7A"/>
    <w:rsid w:val="00663AE8"/>
    <w:rsid w:val="00663AF8"/>
    <w:rsid w:val="00666FBB"/>
    <w:rsid w:val="00670C80"/>
    <w:rsid w:val="00671818"/>
    <w:rsid w:val="00671AAA"/>
    <w:rsid w:val="006722F9"/>
    <w:rsid w:val="006730E9"/>
    <w:rsid w:val="00674E85"/>
    <w:rsid w:val="0067741B"/>
    <w:rsid w:val="00681F1E"/>
    <w:rsid w:val="006826C3"/>
    <w:rsid w:val="00682C50"/>
    <w:rsid w:val="0068616D"/>
    <w:rsid w:val="00691B1C"/>
    <w:rsid w:val="0069390B"/>
    <w:rsid w:val="00693FA6"/>
    <w:rsid w:val="00695FDE"/>
    <w:rsid w:val="006963FA"/>
    <w:rsid w:val="006967EA"/>
    <w:rsid w:val="00697BAB"/>
    <w:rsid w:val="006A1347"/>
    <w:rsid w:val="006A43E6"/>
    <w:rsid w:val="006A6441"/>
    <w:rsid w:val="006B3821"/>
    <w:rsid w:val="006B491D"/>
    <w:rsid w:val="006B6358"/>
    <w:rsid w:val="006B7237"/>
    <w:rsid w:val="006B7D91"/>
    <w:rsid w:val="006C0239"/>
    <w:rsid w:val="006C2206"/>
    <w:rsid w:val="006C2B46"/>
    <w:rsid w:val="006C4C96"/>
    <w:rsid w:val="006C54F5"/>
    <w:rsid w:val="006C5A21"/>
    <w:rsid w:val="006C6EF2"/>
    <w:rsid w:val="006D153B"/>
    <w:rsid w:val="006D5523"/>
    <w:rsid w:val="006D665F"/>
    <w:rsid w:val="006E10B2"/>
    <w:rsid w:val="006E1342"/>
    <w:rsid w:val="006E1639"/>
    <w:rsid w:val="006E2B6D"/>
    <w:rsid w:val="006E6DDA"/>
    <w:rsid w:val="006E73CE"/>
    <w:rsid w:val="006F1C75"/>
    <w:rsid w:val="006F276A"/>
    <w:rsid w:val="006F31E8"/>
    <w:rsid w:val="006F5CB3"/>
    <w:rsid w:val="007004DF"/>
    <w:rsid w:val="00701B96"/>
    <w:rsid w:val="00702F42"/>
    <w:rsid w:val="00705610"/>
    <w:rsid w:val="007075DD"/>
    <w:rsid w:val="007077A5"/>
    <w:rsid w:val="00711303"/>
    <w:rsid w:val="00713A14"/>
    <w:rsid w:val="00715B00"/>
    <w:rsid w:val="00715E5C"/>
    <w:rsid w:val="00717ED0"/>
    <w:rsid w:val="007201BA"/>
    <w:rsid w:val="00723F61"/>
    <w:rsid w:val="00724B65"/>
    <w:rsid w:val="00724B8D"/>
    <w:rsid w:val="00725B5F"/>
    <w:rsid w:val="00726374"/>
    <w:rsid w:val="00733E66"/>
    <w:rsid w:val="00735DA6"/>
    <w:rsid w:val="00736EBB"/>
    <w:rsid w:val="0073735E"/>
    <w:rsid w:val="0073795D"/>
    <w:rsid w:val="007417AF"/>
    <w:rsid w:val="00746098"/>
    <w:rsid w:val="00746D63"/>
    <w:rsid w:val="0075133D"/>
    <w:rsid w:val="00751863"/>
    <w:rsid w:val="00752420"/>
    <w:rsid w:val="0075441B"/>
    <w:rsid w:val="00755CEB"/>
    <w:rsid w:val="007656C3"/>
    <w:rsid w:val="0077073D"/>
    <w:rsid w:val="00771C66"/>
    <w:rsid w:val="0077237D"/>
    <w:rsid w:val="00772FC2"/>
    <w:rsid w:val="00777F3F"/>
    <w:rsid w:val="007802F3"/>
    <w:rsid w:val="0078040E"/>
    <w:rsid w:val="00780EDD"/>
    <w:rsid w:val="00783737"/>
    <w:rsid w:val="007854C0"/>
    <w:rsid w:val="00785E4F"/>
    <w:rsid w:val="00786DE8"/>
    <w:rsid w:val="0078796C"/>
    <w:rsid w:val="00787C00"/>
    <w:rsid w:val="007901D8"/>
    <w:rsid w:val="0079059B"/>
    <w:rsid w:val="00793D4E"/>
    <w:rsid w:val="00793FBE"/>
    <w:rsid w:val="00795323"/>
    <w:rsid w:val="0079792E"/>
    <w:rsid w:val="007A1295"/>
    <w:rsid w:val="007A54C8"/>
    <w:rsid w:val="007A54F2"/>
    <w:rsid w:val="007A7D3C"/>
    <w:rsid w:val="007B03D9"/>
    <w:rsid w:val="007B6E63"/>
    <w:rsid w:val="007B7501"/>
    <w:rsid w:val="007C074B"/>
    <w:rsid w:val="007C17E6"/>
    <w:rsid w:val="007C2C85"/>
    <w:rsid w:val="007C318F"/>
    <w:rsid w:val="007C3A30"/>
    <w:rsid w:val="007C5361"/>
    <w:rsid w:val="007C6483"/>
    <w:rsid w:val="007D2523"/>
    <w:rsid w:val="007D290A"/>
    <w:rsid w:val="007D2A53"/>
    <w:rsid w:val="007D2CA6"/>
    <w:rsid w:val="007D3AFF"/>
    <w:rsid w:val="007D4107"/>
    <w:rsid w:val="007D4A55"/>
    <w:rsid w:val="007D5D4D"/>
    <w:rsid w:val="007D79A2"/>
    <w:rsid w:val="007E5E15"/>
    <w:rsid w:val="007F1EB0"/>
    <w:rsid w:val="007F2675"/>
    <w:rsid w:val="007F716C"/>
    <w:rsid w:val="00801F28"/>
    <w:rsid w:val="00802B09"/>
    <w:rsid w:val="0080310D"/>
    <w:rsid w:val="0080408E"/>
    <w:rsid w:val="00805DCA"/>
    <w:rsid w:val="0081049E"/>
    <w:rsid w:val="008107C6"/>
    <w:rsid w:val="00811A4F"/>
    <w:rsid w:val="00811B8C"/>
    <w:rsid w:val="00811C10"/>
    <w:rsid w:val="0081212C"/>
    <w:rsid w:val="00813C97"/>
    <w:rsid w:val="0081493E"/>
    <w:rsid w:val="0082580A"/>
    <w:rsid w:val="008264E6"/>
    <w:rsid w:val="008300C5"/>
    <w:rsid w:val="00832124"/>
    <w:rsid w:val="00832A24"/>
    <w:rsid w:val="0083377C"/>
    <w:rsid w:val="00833A5D"/>
    <w:rsid w:val="00833A80"/>
    <w:rsid w:val="00833CA2"/>
    <w:rsid w:val="008355F6"/>
    <w:rsid w:val="00836044"/>
    <w:rsid w:val="008366D7"/>
    <w:rsid w:val="00846DB5"/>
    <w:rsid w:val="008525F2"/>
    <w:rsid w:val="0085469E"/>
    <w:rsid w:val="00856DD8"/>
    <w:rsid w:val="00857049"/>
    <w:rsid w:val="0086287A"/>
    <w:rsid w:val="00863E48"/>
    <w:rsid w:val="00864E2D"/>
    <w:rsid w:val="00865AC1"/>
    <w:rsid w:val="00866367"/>
    <w:rsid w:val="008663A1"/>
    <w:rsid w:val="0086726F"/>
    <w:rsid w:val="008703E4"/>
    <w:rsid w:val="00872046"/>
    <w:rsid w:val="0087264A"/>
    <w:rsid w:val="00874010"/>
    <w:rsid w:val="0088179A"/>
    <w:rsid w:val="00881CF2"/>
    <w:rsid w:val="0088280C"/>
    <w:rsid w:val="00882964"/>
    <w:rsid w:val="008829AE"/>
    <w:rsid w:val="00883927"/>
    <w:rsid w:val="00884724"/>
    <w:rsid w:val="00885B65"/>
    <w:rsid w:val="00886BFD"/>
    <w:rsid w:val="008871E7"/>
    <w:rsid w:val="00887563"/>
    <w:rsid w:val="00895449"/>
    <w:rsid w:val="008A4773"/>
    <w:rsid w:val="008B0105"/>
    <w:rsid w:val="008B192E"/>
    <w:rsid w:val="008B1F83"/>
    <w:rsid w:val="008B3D8A"/>
    <w:rsid w:val="008B40A1"/>
    <w:rsid w:val="008B621F"/>
    <w:rsid w:val="008B7849"/>
    <w:rsid w:val="008B7E09"/>
    <w:rsid w:val="008C0380"/>
    <w:rsid w:val="008C093C"/>
    <w:rsid w:val="008C5B2F"/>
    <w:rsid w:val="008C5F96"/>
    <w:rsid w:val="008C7167"/>
    <w:rsid w:val="008C7898"/>
    <w:rsid w:val="008D0693"/>
    <w:rsid w:val="008D2F58"/>
    <w:rsid w:val="008D5AAE"/>
    <w:rsid w:val="008D7632"/>
    <w:rsid w:val="008E0EDB"/>
    <w:rsid w:val="008E342A"/>
    <w:rsid w:val="008E3466"/>
    <w:rsid w:val="008E4A7F"/>
    <w:rsid w:val="008E6FAF"/>
    <w:rsid w:val="008E7F8B"/>
    <w:rsid w:val="00904C3F"/>
    <w:rsid w:val="00905E95"/>
    <w:rsid w:val="009070C8"/>
    <w:rsid w:val="00907EBC"/>
    <w:rsid w:val="00910E1D"/>
    <w:rsid w:val="009133D0"/>
    <w:rsid w:val="009200A1"/>
    <w:rsid w:val="009221B1"/>
    <w:rsid w:val="009269A6"/>
    <w:rsid w:val="00930933"/>
    <w:rsid w:val="00931533"/>
    <w:rsid w:val="009315BE"/>
    <w:rsid w:val="00934ECD"/>
    <w:rsid w:val="0093659F"/>
    <w:rsid w:val="0093697A"/>
    <w:rsid w:val="009403F2"/>
    <w:rsid w:val="00942129"/>
    <w:rsid w:val="00942376"/>
    <w:rsid w:val="00942651"/>
    <w:rsid w:val="0094320D"/>
    <w:rsid w:val="00950636"/>
    <w:rsid w:val="00954B49"/>
    <w:rsid w:val="00954CE5"/>
    <w:rsid w:val="0096081F"/>
    <w:rsid w:val="00960C57"/>
    <w:rsid w:val="009626FE"/>
    <w:rsid w:val="0096403A"/>
    <w:rsid w:val="00967434"/>
    <w:rsid w:val="00972AF1"/>
    <w:rsid w:val="0097527D"/>
    <w:rsid w:val="00977351"/>
    <w:rsid w:val="0098043E"/>
    <w:rsid w:val="009832E1"/>
    <w:rsid w:val="00984FEF"/>
    <w:rsid w:val="00986BC0"/>
    <w:rsid w:val="0099058F"/>
    <w:rsid w:val="00990F78"/>
    <w:rsid w:val="00990FEE"/>
    <w:rsid w:val="0099253B"/>
    <w:rsid w:val="00994A19"/>
    <w:rsid w:val="0099667B"/>
    <w:rsid w:val="009A1548"/>
    <w:rsid w:val="009A16E4"/>
    <w:rsid w:val="009A236F"/>
    <w:rsid w:val="009A286B"/>
    <w:rsid w:val="009A38B9"/>
    <w:rsid w:val="009A43A2"/>
    <w:rsid w:val="009A441B"/>
    <w:rsid w:val="009A7430"/>
    <w:rsid w:val="009B0008"/>
    <w:rsid w:val="009B146A"/>
    <w:rsid w:val="009B2F5B"/>
    <w:rsid w:val="009B493F"/>
    <w:rsid w:val="009B7030"/>
    <w:rsid w:val="009B74BB"/>
    <w:rsid w:val="009C0243"/>
    <w:rsid w:val="009C06AF"/>
    <w:rsid w:val="009C08DF"/>
    <w:rsid w:val="009C2E5E"/>
    <w:rsid w:val="009C4AFF"/>
    <w:rsid w:val="009C5AE6"/>
    <w:rsid w:val="009C69FE"/>
    <w:rsid w:val="009D0B75"/>
    <w:rsid w:val="009D493A"/>
    <w:rsid w:val="009D6B01"/>
    <w:rsid w:val="009E0D51"/>
    <w:rsid w:val="009E2234"/>
    <w:rsid w:val="009E2D8E"/>
    <w:rsid w:val="009E348D"/>
    <w:rsid w:val="009E3D34"/>
    <w:rsid w:val="009F0310"/>
    <w:rsid w:val="009F1F88"/>
    <w:rsid w:val="009F51BF"/>
    <w:rsid w:val="009F7EF9"/>
    <w:rsid w:val="00A0195F"/>
    <w:rsid w:val="00A0211B"/>
    <w:rsid w:val="00A036BD"/>
    <w:rsid w:val="00A05CA7"/>
    <w:rsid w:val="00A06014"/>
    <w:rsid w:val="00A062DC"/>
    <w:rsid w:val="00A06812"/>
    <w:rsid w:val="00A07066"/>
    <w:rsid w:val="00A07257"/>
    <w:rsid w:val="00A0741B"/>
    <w:rsid w:val="00A11715"/>
    <w:rsid w:val="00A11823"/>
    <w:rsid w:val="00A12999"/>
    <w:rsid w:val="00A12CB4"/>
    <w:rsid w:val="00A130DD"/>
    <w:rsid w:val="00A1534C"/>
    <w:rsid w:val="00A23BFA"/>
    <w:rsid w:val="00A27837"/>
    <w:rsid w:val="00A279EF"/>
    <w:rsid w:val="00A3016C"/>
    <w:rsid w:val="00A309B8"/>
    <w:rsid w:val="00A31DB9"/>
    <w:rsid w:val="00A338E7"/>
    <w:rsid w:val="00A33E1C"/>
    <w:rsid w:val="00A33E3F"/>
    <w:rsid w:val="00A34845"/>
    <w:rsid w:val="00A34950"/>
    <w:rsid w:val="00A36E95"/>
    <w:rsid w:val="00A41C0F"/>
    <w:rsid w:val="00A43DB0"/>
    <w:rsid w:val="00A447AA"/>
    <w:rsid w:val="00A44F4A"/>
    <w:rsid w:val="00A4573F"/>
    <w:rsid w:val="00A53026"/>
    <w:rsid w:val="00A5490B"/>
    <w:rsid w:val="00A5537B"/>
    <w:rsid w:val="00A55E94"/>
    <w:rsid w:val="00A602EF"/>
    <w:rsid w:val="00A612CD"/>
    <w:rsid w:val="00A618A1"/>
    <w:rsid w:val="00A621C2"/>
    <w:rsid w:val="00A622A9"/>
    <w:rsid w:val="00A64C93"/>
    <w:rsid w:val="00A650F6"/>
    <w:rsid w:val="00A652B9"/>
    <w:rsid w:val="00A66796"/>
    <w:rsid w:val="00A701CB"/>
    <w:rsid w:val="00A714B1"/>
    <w:rsid w:val="00A716B4"/>
    <w:rsid w:val="00A719B4"/>
    <w:rsid w:val="00A71FE9"/>
    <w:rsid w:val="00A72129"/>
    <w:rsid w:val="00A72E89"/>
    <w:rsid w:val="00A730C8"/>
    <w:rsid w:val="00A736AA"/>
    <w:rsid w:val="00A74236"/>
    <w:rsid w:val="00A74D95"/>
    <w:rsid w:val="00A80643"/>
    <w:rsid w:val="00A81144"/>
    <w:rsid w:val="00A82178"/>
    <w:rsid w:val="00A83053"/>
    <w:rsid w:val="00A84A69"/>
    <w:rsid w:val="00A904B6"/>
    <w:rsid w:val="00A93974"/>
    <w:rsid w:val="00A964ED"/>
    <w:rsid w:val="00A968D8"/>
    <w:rsid w:val="00AA066C"/>
    <w:rsid w:val="00AA197F"/>
    <w:rsid w:val="00AA5784"/>
    <w:rsid w:val="00AA7338"/>
    <w:rsid w:val="00AB06A1"/>
    <w:rsid w:val="00AB651C"/>
    <w:rsid w:val="00AB7099"/>
    <w:rsid w:val="00AC109F"/>
    <w:rsid w:val="00AC27D6"/>
    <w:rsid w:val="00AC315E"/>
    <w:rsid w:val="00AC5788"/>
    <w:rsid w:val="00AD187D"/>
    <w:rsid w:val="00AD1B59"/>
    <w:rsid w:val="00AD1D1C"/>
    <w:rsid w:val="00AD230C"/>
    <w:rsid w:val="00AD45D3"/>
    <w:rsid w:val="00AD6464"/>
    <w:rsid w:val="00AD6FA3"/>
    <w:rsid w:val="00AE04A0"/>
    <w:rsid w:val="00AE1D61"/>
    <w:rsid w:val="00AE2121"/>
    <w:rsid w:val="00AE29F4"/>
    <w:rsid w:val="00AE6CE7"/>
    <w:rsid w:val="00AF1CDF"/>
    <w:rsid w:val="00AF41FD"/>
    <w:rsid w:val="00AF434B"/>
    <w:rsid w:val="00B00AD9"/>
    <w:rsid w:val="00B03020"/>
    <w:rsid w:val="00B030E7"/>
    <w:rsid w:val="00B04108"/>
    <w:rsid w:val="00B045AB"/>
    <w:rsid w:val="00B04BAE"/>
    <w:rsid w:val="00B05306"/>
    <w:rsid w:val="00B127AB"/>
    <w:rsid w:val="00B12B86"/>
    <w:rsid w:val="00B13C5B"/>
    <w:rsid w:val="00B17D30"/>
    <w:rsid w:val="00B2769B"/>
    <w:rsid w:val="00B305EF"/>
    <w:rsid w:val="00B32C72"/>
    <w:rsid w:val="00B337F9"/>
    <w:rsid w:val="00B3742A"/>
    <w:rsid w:val="00B400FF"/>
    <w:rsid w:val="00B40C11"/>
    <w:rsid w:val="00B41692"/>
    <w:rsid w:val="00B41CCE"/>
    <w:rsid w:val="00B42C76"/>
    <w:rsid w:val="00B430C5"/>
    <w:rsid w:val="00B43C11"/>
    <w:rsid w:val="00B44B10"/>
    <w:rsid w:val="00B454B9"/>
    <w:rsid w:val="00B465CA"/>
    <w:rsid w:val="00B46B59"/>
    <w:rsid w:val="00B47802"/>
    <w:rsid w:val="00B5496E"/>
    <w:rsid w:val="00B56FF8"/>
    <w:rsid w:val="00B62089"/>
    <w:rsid w:val="00B6234A"/>
    <w:rsid w:val="00B626C4"/>
    <w:rsid w:val="00B648EA"/>
    <w:rsid w:val="00B64D76"/>
    <w:rsid w:val="00B65F25"/>
    <w:rsid w:val="00B66D13"/>
    <w:rsid w:val="00B73898"/>
    <w:rsid w:val="00B75474"/>
    <w:rsid w:val="00B75624"/>
    <w:rsid w:val="00B76AE1"/>
    <w:rsid w:val="00B77E97"/>
    <w:rsid w:val="00B80302"/>
    <w:rsid w:val="00B81EDF"/>
    <w:rsid w:val="00B839DE"/>
    <w:rsid w:val="00B83E3F"/>
    <w:rsid w:val="00B84CB4"/>
    <w:rsid w:val="00B85EE4"/>
    <w:rsid w:val="00B86F16"/>
    <w:rsid w:val="00B87E85"/>
    <w:rsid w:val="00B9129F"/>
    <w:rsid w:val="00B94A3D"/>
    <w:rsid w:val="00BA2026"/>
    <w:rsid w:val="00BB0358"/>
    <w:rsid w:val="00BB1DDE"/>
    <w:rsid w:val="00BB34BB"/>
    <w:rsid w:val="00BB501F"/>
    <w:rsid w:val="00BB77D8"/>
    <w:rsid w:val="00BC006A"/>
    <w:rsid w:val="00BC03F4"/>
    <w:rsid w:val="00BC1C71"/>
    <w:rsid w:val="00BC57B5"/>
    <w:rsid w:val="00BC6175"/>
    <w:rsid w:val="00BC63A6"/>
    <w:rsid w:val="00BD00A7"/>
    <w:rsid w:val="00BD5502"/>
    <w:rsid w:val="00BD60D5"/>
    <w:rsid w:val="00BD6C25"/>
    <w:rsid w:val="00BE033C"/>
    <w:rsid w:val="00BE35A6"/>
    <w:rsid w:val="00BE48E8"/>
    <w:rsid w:val="00BE54E8"/>
    <w:rsid w:val="00BF284D"/>
    <w:rsid w:val="00BF30AA"/>
    <w:rsid w:val="00BF343B"/>
    <w:rsid w:val="00BF3948"/>
    <w:rsid w:val="00C00B01"/>
    <w:rsid w:val="00C01196"/>
    <w:rsid w:val="00C011AC"/>
    <w:rsid w:val="00C015BD"/>
    <w:rsid w:val="00C051BB"/>
    <w:rsid w:val="00C10BDA"/>
    <w:rsid w:val="00C11E59"/>
    <w:rsid w:val="00C13C62"/>
    <w:rsid w:val="00C173E3"/>
    <w:rsid w:val="00C203F7"/>
    <w:rsid w:val="00C21114"/>
    <w:rsid w:val="00C24DE6"/>
    <w:rsid w:val="00C2531B"/>
    <w:rsid w:val="00C2536F"/>
    <w:rsid w:val="00C25EE8"/>
    <w:rsid w:val="00C31C49"/>
    <w:rsid w:val="00C323AB"/>
    <w:rsid w:val="00C343AD"/>
    <w:rsid w:val="00C411A0"/>
    <w:rsid w:val="00C445F2"/>
    <w:rsid w:val="00C44EAC"/>
    <w:rsid w:val="00C47722"/>
    <w:rsid w:val="00C47BD1"/>
    <w:rsid w:val="00C51785"/>
    <w:rsid w:val="00C52985"/>
    <w:rsid w:val="00C53EC2"/>
    <w:rsid w:val="00C54977"/>
    <w:rsid w:val="00C57793"/>
    <w:rsid w:val="00C61694"/>
    <w:rsid w:val="00C66A02"/>
    <w:rsid w:val="00C673F0"/>
    <w:rsid w:val="00C775CF"/>
    <w:rsid w:val="00C81816"/>
    <w:rsid w:val="00C81996"/>
    <w:rsid w:val="00C81E71"/>
    <w:rsid w:val="00C823C3"/>
    <w:rsid w:val="00C82FE2"/>
    <w:rsid w:val="00C869D8"/>
    <w:rsid w:val="00C869DC"/>
    <w:rsid w:val="00C9153C"/>
    <w:rsid w:val="00C93D8A"/>
    <w:rsid w:val="00C94B89"/>
    <w:rsid w:val="00C95CBA"/>
    <w:rsid w:val="00C96135"/>
    <w:rsid w:val="00CA089A"/>
    <w:rsid w:val="00CA09D5"/>
    <w:rsid w:val="00CA55AA"/>
    <w:rsid w:val="00CA60E2"/>
    <w:rsid w:val="00CA68F7"/>
    <w:rsid w:val="00CA6C4F"/>
    <w:rsid w:val="00CA6EC3"/>
    <w:rsid w:val="00CB02FB"/>
    <w:rsid w:val="00CB0FD9"/>
    <w:rsid w:val="00CB4339"/>
    <w:rsid w:val="00CB445B"/>
    <w:rsid w:val="00CB5F36"/>
    <w:rsid w:val="00CB6108"/>
    <w:rsid w:val="00CB7CD3"/>
    <w:rsid w:val="00CC227D"/>
    <w:rsid w:val="00CC3516"/>
    <w:rsid w:val="00CC5BD6"/>
    <w:rsid w:val="00CC7254"/>
    <w:rsid w:val="00CC7C0C"/>
    <w:rsid w:val="00CD0360"/>
    <w:rsid w:val="00CD2F77"/>
    <w:rsid w:val="00CD30AD"/>
    <w:rsid w:val="00CD3EF1"/>
    <w:rsid w:val="00CD68F5"/>
    <w:rsid w:val="00CD79B9"/>
    <w:rsid w:val="00CE508C"/>
    <w:rsid w:val="00CE7AA9"/>
    <w:rsid w:val="00CF00F4"/>
    <w:rsid w:val="00CF0950"/>
    <w:rsid w:val="00CF13D1"/>
    <w:rsid w:val="00CF1F1D"/>
    <w:rsid w:val="00CF2658"/>
    <w:rsid w:val="00CF3EBB"/>
    <w:rsid w:val="00D0000E"/>
    <w:rsid w:val="00D01DB9"/>
    <w:rsid w:val="00D035DA"/>
    <w:rsid w:val="00D0392B"/>
    <w:rsid w:val="00D05B3D"/>
    <w:rsid w:val="00D0775D"/>
    <w:rsid w:val="00D10C6A"/>
    <w:rsid w:val="00D12943"/>
    <w:rsid w:val="00D14D39"/>
    <w:rsid w:val="00D15244"/>
    <w:rsid w:val="00D17936"/>
    <w:rsid w:val="00D17B5A"/>
    <w:rsid w:val="00D220CB"/>
    <w:rsid w:val="00D22286"/>
    <w:rsid w:val="00D22E2F"/>
    <w:rsid w:val="00D234B7"/>
    <w:rsid w:val="00D24E20"/>
    <w:rsid w:val="00D30E2F"/>
    <w:rsid w:val="00D32425"/>
    <w:rsid w:val="00D339FE"/>
    <w:rsid w:val="00D34676"/>
    <w:rsid w:val="00D35909"/>
    <w:rsid w:val="00D36C7F"/>
    <w:rsid w:val="00D432C1"/>
    <w:rsid w:val="00D43A56"/>
    <w:rsid w:val="00D44315"/>
    <w:rsid w:val="00D448DF"/>
    <w:rsid w:val="00D44E97"/>
    <w:rsid w:val="00D45746"/>
    <w:rsid w:val="00D47E57"/>
    <w:rsid w:val="00D47E89"/>
    <w:rsid w:val="00D5089E"/>
    <w:rsid w:val="00D509F4"/>
    <w:rsid w:val="00D518CB"/>
    <w:rsid w:val="00D54745"/>
    <w:rsid w:val="00D5484F"/>
    <w:rsid w:val="00D554E5"/>
    <w:rsid w:val="00D5687E"/>
    <w:rsid w:val="00D575A6"/>
    <w:rsid w:val="00D579A9"/>
    <w:rsid w:val="00D650E3"/>
    <w:rsid w:val="00D65F5F"/>
    <w:rsid w:val="00D66998"/>
    <w:rsid w:val="00D75697"/>
    <w:rsid w:val="00D76AD0"/>
    <w:rsid w:val="00D807E7"/>
    <w:rsid w:val="00D83AC2"/>
    <w:rsid w:val="00D84549"/>
    <w:rsid w:val="00D8475E"/>
    <w:rsid w:val="00D84763"/>
    <w:rsid w:val="00D8679A"/>
    <w:rsid w:val="00D87A7C"/>
    <w:rsid w:val="00D87FAC"/>
    <w:rsid w:val="00D90BBE"/>
    <w:rsid w:val="00D91F51"/>
    <w:rsid w:val="00D96BA6"/>
    <w:rsid w:val="00D978EE"/>
    <w:rsid w:val="00DA0A78"/>
    <w:rsid w:val="00DA2AD3"/>
    <w:rsid w:val="00DA53CA"/>
    <w:rsid w:val="00DA5F59"/>
    <w:rsid w:val="00DA6C70"/>
    <w:rsid w:val="00DA786A"/>
    <w:rsid w:val="00DB0E37"/>
    <w:rsid w:val="00DB5095"/>
    <w:rsid w:val="00DB6AAB"/>
    <w:rsid w:val="00DC130F"/>
    <w:rsid w:val="00DC1BA8"/>
    <w:rsid w:val="00DC3493"/>
    <w:rsid w:val="00DC5941"/>
    <w:rsid w:val="00DD36EE"/>
    <w:rsid w:val="00DD3CCF"/>
    <w:rsid w:val="00DD44B2"/>
    <w:rsid w:val="00DD4563"/>
    <w:rsid w:val="00DE1DF3"/>
    <w:rsid w:val="00DE2729"/>
    <w:rsid w:val="00DE453F"/>
    <w:rsid w:val="00DE5D5A"/>
    <w:rsid w:val="00DF1E70"/>
    <w:rsid w:val="00DF2E63"/>
    <w:rsid w:val="00DF409B"/>
    <w:rsid w:val="00DF75D3"/>
    <w:rsid w:val="00DF7F66"/>
    <w:rsid w:val="00E010A4"/>
    <w:rsid w:val="00E0162B"/>
    <w:rsid w:val="00E023D1"/>
    <w:rsid w:val="00E11C0D"/>
    <w:rsid w:val="00E1395B"/>
    <w:rsid w:val="00E13B57"/>
    <w:rsid w:val="00E13E9D"/>
    <w:rsid w:val="00E1699B"/>
    <w:rsid w:val="00E16B72"/>
    <w:rsid w:val="00E1770A"/>
    <w:rsid w:val="00E17783"/>
    <w:rsid w:val="00E17CD1"/>
    <w:rsid w:val="00E21400"/>
    <w:rsid w:val="00E21998"/>
    <w:rsid w:val="00E21CCD"/>
    <w:rsid w:val="00E3022F"/>
    <w:rsid w:val="00E319AD"/>
    <w:rsid w:val="00E32864"/>
    <w:rsid w:val="00E32AAA"/>
    <w:rsid w:val="00E32AD3"/>
    <w:rsid w:val="00E34062"/>
    <w:rsid w:val="00E35C68"/>
    <w:rsid w:val="00E40AF7"/>
    <w:rsid w:val="00E44429"/>
    <w:rsid w:val="00E45D25"/>
    <w:rsid w:val="00E46CEB"/>
    <w:rsid w:val="00E526FA"/>
    <w:rsid w:val="00E529E7"/>
    <w:rsid w:val="00E54D86"/>
    <w:rsid w:val="00E552B8"/>
    <w:rsid w:val="00E558F1"/>
    <w:rsid w:val="00E55CB0"/>
    <w:rsid w:val="00E62D9F"/>
    <w:rsid w:val="00E650FE"/>
    <w:rsid w:val="00E653BE"/>
    <w:rsid w:val="00E73282"/>
    <w:rsid w:val="00E76CA0"/>
    <w:rsid w:val="00E77760"/>
    <w:rsid w:val="00E80335"/>
    <w:rsid w:val="00E82690"/>
    <w:rsid w:val="00E832EC"/>
    <w:rsid w:val="00E83BF5"/>
    <w:rsid w:val="00E84B2B"/>
    <w:rsid w:val="00E857FC"/>
    <w:rsid w:val="00E85E51"/>
    <w:rsid w:val="00E85E6F"/>
    <w:rsid w:val="00E87EDD"/>
    <w:rsid w:val="00E907A5"/>
    <w:rsid w:val="00E91DC0"/>
    <w:rsid w:val="00E97051"/>
    <w:rsid w:val="00EA03F5"/>
    <w:rsid w:val="00EA050E"/>
    <w:rsid w:val="00EA07B8"/>
    <w:rsid w:val="00EA4C96"/>
    <w:rsid w:val="00EA5732"/>
    <w:rsid w:val="00EA662C"/>
    <w:rsid w:val="00EB03DA"/>
    <w:rsid w:val="00EB0655"/>
    <w:rsid w:val="00EB2C01"/>
    <w:rsid w:val="00EB639C"/>
    <w:rsid w:val="00EB7C2F"/>
    <w:rsid w:val="00EC06BC"/>
    <w:rsid w:val="00EC140A"/>
    <w:rsid w:val="00EC2352"/>
    <w:rsid w:val="00ED2049"/>
    <w:rsid w:val="00ED394E"/>
    <w:rsid w:val="00ED42ED"/>
    <w:rsid w:val="00ED5C92"/>
    <w:rsid w:val="00ED79C2"/>
    <w:rsid w:val="00ED7FFE"/>
    <w:rsid w:val="00EE044B"/>
    <w:rsid w:val="00EE5207"/>
    <w:rsid w:val="00EE61AC"/>
    <w:rsid w:val="00EE78D9"/>
    <w:rsid w:val="00EF025F"/>
    <w:rsid w:val="00EF5AD1"/>
    <w:rsid w:val="00EF6A9E"/>
    <w:rsid w:val="00EF75AF"/>
    <w:rsid w:val="00EF7F67"/>
    <w:rsid w:val="00F01A3F"/>
    <w:rsid w:val="00F02819"/>
    <w:rsid w:val="00F04BF0"/>
    <w:rsid w:val="00F060EB"/>
    <w:rsid w:val="00F06256"/>
    <w:rsid w:val="00F1671E"/>
    <w:rsid w:val="00F2500F"/>
    <w:rsid w:val="00F3029F"/>
    <w:rsid w:val="00F306CB"/>
    <w:rsid w:val="00F31A21"/>
    <w:rsid w:val="00F35995"/>
    <w:rsid w:val="00F3607B"/>
    <w:rsid w:val="00F3607C"/>
    <w:rsid w:val="00F515F7"/>
    <w:rsid w:val="00F560C9"/>
    <w:rsid w:val="00F56B77"/>
    <w:rsid w:val="00F6340D"/>
    <w:rsid w:val="00F64F0C"/>
    <w:rsid w:val="00F6537E"/>
    <w:rsid w:val="00F6686B"/>
    <w:rsid w:val="00F67A63"/>
    <w:rsid w:val="00F67E57"/>
    <w:rsid w:val="00F71914"/>
    <w:rsid w:val="00F7430E"/>
    <w:rsid w:val="00F75E22"/>
    <w:rsid w:val="00F80F2A"/>
    <w:rsid w:val="00F822B6"/>
    <w:rsid w:val="00F86102"/>
    <w:rsid w:val="00F917EE"/>
    <w:rsid w:val="00F972EE"/>
    <w:rsid w:val="00F97322"/>
    <w:rsid w:val="00F97656"/>
    <w:rsid w:val="00F97953"/>
    <w:rsid w:val="00F97F3B"/>
    <w:rsid w:val="00FA06FF"/>
    <w:rsid w:val="00FA0849"/>
    <w:rsid w:val="00FA15E6"/>
    <w:rsid w:val="00FA7CE2"/>
    <w:rsid w:val="00FB2E7E"/>
    <w:rsid w:val="00FB3105"/>
    <w:rsid w:val="00FB4000"/>
    <w:rsid w:val="00FB4FC7"/>
    <w:rsid w:val="00FB6218"/>
    <w:rsid w:val="00FB69AD"/>
    <w:rsid w:val="00FB73C5"/>
    <w:rsid w:val="00FB7F19"/>
    <w:rsid w:val="00FC14B4"/>
    <w:rsid w:val="00FC21B5"/>
    <w:rsid w:val="00FC3042"/>
    <w:rsid w:val="00FC5291"/>
    <w:rsid w:val="00FC59EA"/>
    <w:rsid w:val="00FD0C98"/>
    <w:rsid w:val="00FD2F17"/>
    <w:rsid w:val="00FD50D8"/>
    <w:rsid w:val="00FD5729"/>
    <w:rsid w:val="00FD69B1"/>
    <w:rsid w:val="00FE1063"/>
    <w:rsid w:val="00FE1CF0"/>
    <w:rsid w:val="00FE6C16"/>
    <w:rsid w:val="00FF20FC"/>
    <w:rsid w:val="00FF3111"/>
    <w:rsid w:val="00FF32D6"/>
    <w:rsid w:val="00FF3B41"/>
    <w:rsid w:val="00FF6D28"/>
    <w:rsid w:val="67944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E4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1C7"/>
    <w:pPr>
      <w:spacing w:before="120"/>
    </w:pPr>
    <w:rPr>
      <w:rFonts w:ascii="Verdana" w:hAnsi="Verdana"/>
      <w:sz w:val="22"/>
      <w:lang w:eastAsia="en-US"/>
    </w:rPr>
  </w:style>
  <w:style w:type="paragraph" w:styleId="Heading1">
    <w:name w:val="heading 1"/>
    <w:basedOn w:val="Normal"/>
    <w:next w:val="Normal"/>
    <w:link w:val="Heading1Char"/>
    <w:qFormat/>
    <w:rsid w:val="002C41C7"/>
    <w:pPr>
      <w:keepNext/>
      <w:numPr>
        <w:numId w:val="2"/>
      </w:numPr>
      <w:spacing w:before="240" w:after="120"/>
      <w:ind w:left="431" w:hanging="431"/>
      <w:outlineLvl w:val="0"/>
    </w:pPr>
    <w:rPr>
      <w:b/>
      <w:bCs/>
      <w:color w:val="0166AA"/>
      <w:sz w:val="28"/>
      <w:szCs w:val="28"/>
    </w:rPr>
  </w:style>
  <w:style w:type="paragraph" w:styleId="Heading2">
    <w:name w:val="heading 2"/>
    <w:basedOn w:val="Normal"/>
    <w:next w:val="Normal"/>
    <w:qFormat/>
    <w:rsid w:val="002F2DC4"/>
    <w:pPr>
      <w:keepNext/>
      <w:numPr>
        <w:ilvl w:val="1"/>
        <w:numId w:val="2"/>
      </w:numPr>
      <w:spacing w:before="240"/>
      <w:outlineLvl w:val="1"/>
    </w:pPr>
    <w:rPr>
      <w:bCs/>
      <w:color w:val="0166AA"/>
      <w:sz w:val="26"/>
      <w:szCs w:val="26"/>
    </w:rPr>
  </w:style>
  <w:style w:type="paragraph" w:styleId="Heading3">
    <w:name w:val="heading 3"/>
    <w:basedOn w:val="Normal"/>
    <w:next w:val="Normal"/>
    <w:qFormat/>
    <w:rsid w:val="00552EDF"/>
    <w:pPr>
      <w:keepNext/>
      <w:numPr>
        <w:ilvl w:val="2"/>
        <w:numId w:val="2"/>
      </w:numPr>
      <w:spacing w:before="240"/>
      <w:ind w:left="720"/>
      <w:outlineLvl w:val="2"/>
    </w:pPr>
    <w:rPr>
      <w:iCs/>
      <w:color w:val="0166AA"/>
      <w:sz w:val="24"/>
    </w:rPr>
  </w:style>
  <w:style w:type="paragraph" w:styleId="Heading4">
    <w:name w:val="heading 4"/>
    <w:basedOn w:val="Normal"/>
    <w:next w:val="Normal"/>
    <w:link w:val="Heading4Char"/>
    <w:unhideWhenUsed/>
    <w:qFormat/>
    <w:rsid w:val="0062222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2222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2222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2222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2222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2222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6B491D"/>
    <w:pPr>
      <w:widowControl w:val="0"/>
      <w:pBdr>
        <w:bottom w:val="single" w:sz="8" w:space="1" w:color="0166AA"/>
      </w:pBdr>
      <w:tabs>
        <w:tab w:val="left" w:pos="2410"/>
        <w:tab w:val="right" w:pos="8931"/>
      </w:tabs>
      <w:spacing w:before="0"/>
      <w:ind w:left="142"/>
      <w:jc w:val="center"/>
    </w:pPr>
    <w:rPr>
      <w:color w:val="244061" w:themeColor="accent1" w:themeShade="80"/>
      <w:sz w:val="24"/>
      <w:szCs w:val="24"/>
    </w:rPr>
  </w:style>
  <w:style w:type="paragraph" w:styleId="Footer">
    <w:name w:val="footer"/>
    <w:basedOn w:val="Normal"/>
    <w:link w:val="FooterChar"/>
    <w:autoRedefine/>
    <w:uiPriority w:val="99"/>
    <w:rsid w:val="00E907A5"/>
    <w:pPr>
      <w:pBdr>
        <w:top w:val="single" w:sz="8" w:space="1" w:color="666699"/>
      </w:pBdr>
      <w:tabs>
        <w:tab w:val="center" w:pos="4253"/>
        <w:tab w:val="right" w:pos="9180"/>
      </w:tabs>
      <w:spacing w:before="0"/>
      <w:jc w:val="center"/>
    </w:pPr>
    <w:rPr>
      <w:bCs/>
      <w:color w:val="0166AA"/>
      <w:sz w:val="20"/>
    </w:rPr>
  </w:style>
  <w:style w:type="paragraph" w:styleId="BodyTextIndent">
    <w:name w:val="Body Text Indent"/>
    <w:aliases w:val="Instruction 2"/>
    <w:basedOn w:val="Normal"/>
    <w:link w:val="BodyTextIndentChar"/>
    <w:pPr>
      <w:spacing w:after="240"/>
      <w:ind w:left="1440"/>
    </w:pPr>
    <w:rPr>
      <w:color w:val="800080"/>
      <w:sz w:val="20"/>
    </w:rPr>
  </w:style>
  <w:style w:type="paragraph" w:customStyle="1" w:styleId="DocTitle-Right">
    <w:name w:val="Doc Title-Right"/>
    <w:basedOn w:val="Heading1"/>
    <w:autoRedefine/>
    <w:rsid w:val="004E75D3"/>
    <w:pPr>
      <w:numPr>
        <w:numId w:val="0"/>
      </w:numPr>
      <w:jc w:val="center"/>
    </w:pPr>
    <w:rPr>
      <w:rFonts w:eastAsia="Times New Roman"/>
      <w:b w:val="0"/>
      <w:bCs w:val="0"/>
      <w:color w:val="365F91" w:themeColor="accent1" w:themeShade="BF"/>
      <w:sz w:val="36"/>
      <w:szCs w:val="36"/>
    </w:rPr>
  </w:style>
  <w:style w:type="paragraph" w:customStyle="1" w:styleId="Sub-Title1">
    <w:name w:val="Sub-Title 1"/>
    <w:basedOn w:val="Heading1"/>
    <w:rsid w:val="00DB6AAB"/>
    <w:pPr>
      <w:pBdr>
        <w:top w:val="single" w:sz="8" w:space="1" w:color="800080"/>
      </w:pBdr>
      <w:spacing w:before="1200"/>
      <w:jc w:val="right"/>
    </w:pPr>
    <w:rPr>
      <w:rFonts w:eastAsia="Times New Roman"/>
      <w:sz w:val="24"/>
    </w:rPr>
  </w:style>
  <w:style w:type="paragraph" w:customStyle="1" w:styleId="SubTitle2">
    <w:name w:val="Sub Title 2"/>
    <w:basedOn w:val="Heading3"/>
    <w:rsid w:val="00DB6AAB"/>
    <w:pPr>
      <w:spacing w:after="1080"/>
    </w:pPr>
    <w:rPr>
      <w:rFonts w:eastAsia="Times New Roman"/>
    </w:rPr>
  </w:style>
  <w:style w:type="paragraph" w:customStyle="1" w:styleId="SubTitle3">
    <w:name w:val="Sub Title 3"/>
    <w:basedOn w:val="Normal"/>
    <w:link w:val="SubTitle3Char"/>
    <w:rsid w:val="00DB6AAB"/>
    <w:pPr>
      <w:jc w:val="right"/>
    </w:pPr>
    <w:rPr>
      <w:rFonts w:eastAsia="Times New Roman"/>
    </w:rPr>
  </w:style>
  <w:style w:type="paragraph" w:customStyle="1" w:styleId="StyleHeading124ptBoldOrangeRightAfter12ptTop">
    <w:name w:val="Style Heading 1 + 24 pt Bold Orange Right After:  12 pt Top: (..."/>
    <w:basedOn w:val="Heading1"/>
    <w:autoRedefine/>
    <w:rsid w:val="00A41C0F"/>
    <w:pPr>
      <w:pBdr>
        <w:top w:val="single" w:sz="24" w:space="1" w:color="800080"/>
        <w:right w:val="single" w:sz="24" w:space="4" w:color="800080"/>
      </w:pBdr>
      <w:jc w:val="right"/>
    </w:pPr>
    <w:rPr>
      <w:rFonts w:eastAsia="Times New Roman"/>
      <w:b w:val="0"/>
      <w:bCs w:val="0"/>
      <w:color w:val="339966"/>
      <w:sz w:val="48"/>
    </w:rPr>
  </w:style>
  <w:style w:type="paragraph" w:customStyle="1" w:styleId="TaglineTop">
    <w:name w:val="Tagline Top"/>
    <w:basedOn w:val="Heading1"/>
    <w:rsid w:val="00DB6AAB"/>
    <w:pPr>
      <w:spacing w:after="40"/>
    </w:pPr>
    <w:rPr>
      <w:rFonts w:eastAsia="Times New Roman"/>
      <w:sz w:val="16"/>
    </w:rPr>
  </w:style>
  <w:style w:type="paragraph" w:customStyle="1" w:styleId="DocTitle2">
    <w:name w:val="Doc Title 2"/>
    <w:basedOn w:val="Heading1"/>
    <w:rsid w:val="008B1F83"/>
    <w:pPr>
      <w:pBdr>
        <w:top w:val="single" w:sz="8" w:space="1" w:color="800080"/>
        <w:right w:val="single" w:sz="8" w:space="4" w:color="auto"/>
      </w:pBdr>
      <w:spacing w:after="240"/>
      <w:jc w:val="right"/>
    </w:pPr>
    <w:rPr>
      <w:rFonts w:eastAsia="Times New Roman"/>
      <w:b w:val="0"/>
      <w:bCs w:val="0"/>
      <w:color w:val="FF6600"/>
      <w:sz w:val="34"/>
    </w:rPr>
  </w:style>
  <w:style w:type="paragraph" w:customStyle="1" w:styleId="Header2">
    <w:name w:val="Header 2"/>
    <w:basedOn w:val="Heading1"/>
    <w:link w:val="Header2Char"/>
    <w:autoRedefine/>
    <w:rsid w:val="00244D37"/>
    <w:pPr>
      <w:pBdr>
        <w:top w:val="single" w:sz="8" w:space="4" w:color="666699"/>
      </w:pBdr>
      <w:spacing w:before="120"/>
    </w:pPr>
    <w:rPr>
      <w:rFonts w:eastAsia="Times New Roman"/>
    </w:rPr>
  </w:style>
  <w:style w:type="paragraph" w:customStyle="1" w:styleId="Header3">
    <w:name w:val="Header 3"/>
    <w:basedOn w:val="Heading2"/>
    <w:rsid w:val="008B1F83"/>
    <w:pPr>
      <w:ind w:left="1440"/>
    </w:pPr>
    <w:rPr>
      <w:rFonts w:eastAsia="Times New Roman"/>
      <w:bCs w:val="0"/>
      <w:sz w:val="22"/>
    </w:rPr>
  </w:style>
  <w:style w:type="character" w:customStyle="1" w:styleId="BodyIndent2">
    <w:name w:val="Body Indent 2"/>
    <w:rsid w:val="008B1F83"/>
    <w:rPr>
      <w:rFonts w:ascii="Verdana" w:hAnsi="Verdana"/>
      <w:i/>
      <w:iCs/>
      <w:sz w:val="20"/>
    </w:rPr>
  </w:style>
  <w:style w:type="character" w:customStyle="1" w:styleId="Instruction1">
    <w:name w:val="Instruction 1"/>
    <w:rsid w:val="008B1F83"/>
    <w:rPr>
      <w:rFonts w:ascii="Verdana" w:hAnsi="Verdana"/>
      <w:color w:val="800080"/>
      <w:sz w:val="20"/>
    </w:rPr>
  </w:style>
  <w:style w:type="character" w:customStyle="1" w:styleId="Caption1">
    <w:name w:val="Caption 1"/>
    <w:rsid w:val="0032747A"/>
    <w:rPr>
      <w:rFonts w:ascii="Verdana" w:hAnsi="Verdana"/>
      <w:sz w:val="18"/>
    </w:rPr>
  </w:style>
  <w:style w:type="paragraph" w:styleId="BlockText">
    <w:name w:val="Block Text"/>
    <w:basedOn w:val="Normal"/>
    <w:rsid w:val="00FF6D28"/>
    <w:pPr>
      <w:spacing w:after="240"/>
      <w:ind w:left="360"/>
    </w:pPr>
    <w:rPr>
      <w:rFonts w:eastAsia="Times New Roman"/>
      <w:color w:val="0166AA"/>
      <w:sz w:val="20"/>
    </w:rPr>
  </w:style>
  <w:style w:type="paragraph" w:customStyle="1" w:styleId="TblHeader">
    <w:name w:val="Tbl Header"/>
    <w:basedOn w:val="Normal"/>
    <w:rsid w:val="00210E48"/>
    <w:pPr>
      <w:jc w:val="center"/>
    </w:pPr>
    <w:rPr>
      <w:rFonts w:ascii="Arial" w:eastAsia="Times New Roman" w:hAnsi="Arial"/>
      <w:b/>
    </w:rPr>
  </w:style>
  <w:style w:type="paragraph" w:customStyle="1" w:styleId="TemplateVerbiage">
    <w:name w:val="Template Verbiage"/>
    <w:basedOn w:val="BodyTextIndent"/>
    <w:rsid w:val="00210E48"/>
    <w:pPr>
      <w:spacing w:after="120"/>
      <w:ind w:left="720"/>
    </w:pPr>
    <w:rPr>
      <w:rFonts w:ascii="Arial" w:eastAsia="Times New Roman" w:hAnsi="Arial"/>
      <w:i/>
      <w:color w:val="0000FF"/>
      <w:sz w:val="18"/>
    </w:rPr>
  </w:style>
  <w:style w:type="table" w:styleId="TableGrid">
    <w:name w:val="Table Grid"/>
    <w:basedOn w:val="TableNormal"/>
    <w:rsid w:val="00210E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aliases w:val="Instruction 2 Char"/>
    <w:link w:val="BodyTextIndent"/>
    <w:rsid w:val="00143B45"/>
    <w:rPr>
      <w:rFonts w:ascii="Verdana" w:eastAsia="Times" w:hAnsi="Verdana"/>
      <w:color w:val="800080"/>
      <w:lang w:val="en-US" w:eastAsia="en-US" w:bidi="ar-SA"/>
    </w:rPr>
  </w:style>
  <w:style w:type="character" w:customStyle="1" w:styleId="Heading1Char">
    <w:name w:val="Heading 1 Char"/>
    <w:link w:val="Heading1"/>
    <w:rsid w:val="002C41C7"/>
    <w:rPr>
      <w:rFonts w:ascii="Verdana" w:hAnsi="Verdana"/>
      <w:b/>
      <w:bCs/>
      <w:color w:val="0166AA"/>
      <w:sz w:val="28"/>
      <w:szCs w:val="28"/>
      <w:lang w:eastAsia="en-US"/>
    </w:rPr>
  </w:style>
  <w:style w:type="character" w:customStyle="1" w:styleId="Header2Char">
    <w:name w:val="Header 2 Char"/>
    <w:link w:val="Header2"/>
    <w:rsid w:val="00244D37"/>
    <w:rPr>
      <w:rFonts w:ascii="Verdana" w:eastAsia="Times New Roman" w:hAnsi="Verdana"/>
      <w:b/>
      <w:bCs/>
      <w:color w:val="0166AA"/>
      <w:sz w:val="28"/>
      <w:szCs w:val="28"/>
      <w:lang w:eastAsia="en-US"/>
    </w:rPr>
  </w:style>
  <w:style w:type="paragraph" w:styleId="BodyText2">
    <w:name w:val="Body Text 2"/>
    <w:basedOn w:val="Normal"/>
    <w:rsid w:val="00244D37"/>
    <w:pPr>
      <w:spacing w:line="480" w:lineRule="auto"/>
    </w:pPr>
    <w:rPr>
      <w:rFonts w:ascii="Arial" w:hAnsi="Arial"/>
    </w:rPr>
  </w:style>
  <w:style w:type="paragraph" w:styleId="BodyTextIndent2">
    <w:name w:val="Body Text Indent 2"/>
    <w:basedOn w:val="Normal"/>
    <w:rsid w:val="00244D37"/>
    <w:pPr>
      <w:spacing w:line="480" w:lineRule="auto"/>
      <w:ind w:left="360"/>
    </w:pPr>
    <w:rPr>
      <w:rFonts w:ascii="Arial" w:hAnsi="Arial"/>
    </w:rPr>
  </w:style>
  <w:style w:type="character" w:styleId="PageNumber">
    <w:name w:val="page number"/>
    <w:basedOn w:val="DefaultParagraphFont"/>
    <w:rsid w:val="002F5491"/>
  </w:style>
  <w:style w:type="paragraph" w:customStyle="1" w:styleId="LineAfterTable">
    <w:name w:val="Line After Table"/>
    <w:basedOn w:val="BodyText"/>
    <w:rsid w:val="002F5491"/>
    <w:pPr>
      <w:spacing w:line="120" w:lineRule="exact"/>
    </w:pPr>
    <w:rPr>
      <w:rFonts w:ascii="Arial" w:eastAsia="Times New Roman" w:hAnsi="Arial"/>
      <w:sz w:val="16"/>
    </w:rPr>
  </w:style>
  <w:style w:type="paragraph" w:styleId="Caption">
    <w:name w:val="caption"/>
    <w:basedOn w:val="Normal"/>
    <w:next w:val="Normal"/>
    <w:qFormat/>
    <w:rsid w:val="001C1E38"/>
    <w:pPr>
      <w:spacing w:before="240" w:after="240"/>
      <w:jc w:val="center"/>
    </w:pPr>
    <w:rPr>
      <w:rFonts w:ascii="Arial" w:eastAsia="Times New Roman" w:hAnsi="Arial"/>
      <w:b/>
      <w:sz w:val="20"/>
    </w:rPr>
  </w:style>
  <w:style w:type="paragraph" w:customStyle="1" w:styleId="Note">
    <w:name w:val="Note"/>
    <w:aliases w:val="a,b"/>
    <w:basedOn w:val="BodyText"/>
    <w:rsid w:val="002F5491"/>
    <w:pPr>
      <w:pBdr>
        <w:top w:val="single" w:sz="4" w:space="13" w:color="auto"/>
        <w:bottom w:val="single" w:sz="4" w:space="13" w:color="auto"/>
      </w:pBdr>
      <w:spacing w:before="360" w:after="240"/>
      <w:ind w:left="3096" w:hanging="936"/>
    </w:pPr>
    <w:rPr>
      <w:rFonts w:ascii="Arial" w:eastAsia="Times New Roman" w:hAnsi="Arial"/>
      <w:bCs/>
      <w:i/>
    </w:rPr>
  </w:style>
  <w:style w:type="paragraph" w:styleId="BodyText">
    <w:name w:val="Body Text"/>
    <w:basedOn w:val="Normal"/>
    <w:rsid w:val="00B87E85"/>
  </w:style>
  <w:style w:type="paragraph" w:styleId="BalloonText">
    <w:name w:val="Balloon Text"/>
    <w:basedOn w:val="Normal"/>
    <w:semiHidden/>
    <w:rsid w:val="001F13F1"/>
    <w:rPr>
      <w:rFonts w:ascii="Tahoma" w:hAnsi="Tahoma" w:cs="Tahoma"/>
      <w:sz w:val="16"/>
      <w:szCs w:val="16"/>
    </w:rPr>
  </w:style>
  <w:style w:type="character" w:styleId="CommentReference">
    <w:name w:val="annotation reference"/>
    <w:semiHidden/>
    <w:rsid w:val="00DE453F"/>
    <w:rPr>
      <w:sz w:val="16"/>
      <w:szCs w:val="16"/>
    </w:rPr>
  </w:style>
  <w:style w:type="paragraph" w:styleId="CommentText">
    <w:name w:val="annotation text"/>
    <w:basedOn w:val="Normal"/>
    <w:link w:val="CommentTextChar"/>
    <w:semiHidden/>
    <w:rsid w:val="00DE453F"/>
    <w:rPr>
      <w:sz w:val="20"/>
    </w:rPr>
  </w:style>
  <w:style w:type="paragraph" w:styleId="CommentSubject">
    <w:name w:val="annotation subject"/>
    <w:basedOn w:val="CommentText"/>
    <w:next w:val="CommentText"/>
    <w:semiHidden/>
    <w:rsid w:val="00DE453F"/>
    <w:rPr>
      <w:b/>
      <w:bCs/>
    </w:rPr>
  </w:style>
  <w:style w:type="paragraph" w:customStyle="1" w:styleId="TMPheading">
    <w:name w:val="TMP heading"/>
    <w:autoRedefine/>
    <w:rsid w:val="00D43A56"/>
    <w:pPr>
      <w:pBdr>
        <w:top w:val="single" w:sz="24" w:space="1" w:color="666699"/>
        <w:right w:val="single" w:sz="24" w:space="4" w:color="666699"/>
      </w:pBdr>
      <w:jc w:val="right"/>
    </w:pPr>
    <w:rPr>
      <w:rFonts w:ascii="Verdana" w:eastAsia="Times New Roman" w:hAnsi="Verdana"/>
      <w:b/>
      <w:bCs/>
      <w:color w:val="339966"/>
      <w:sz w:val="48"/>
      <w:szCs w:val="48"/>
      <w:lang w:val="en-US" w:eastAsia="en-US"/>
    </w:rPr>
  </w:style>
  <w:style w:type="paragraph" w:customStyle="1" w:styleId="StyleSub-Title1Blue-GrayBefore72pt">
    <w:name w:val="Style Sub-Title 1 + Blue-Gray Before:  72 pt"/>
    <w:basedOn w:val="Sub-Title1"/>
    <w:autoRedefine/>
    <w:rsid w:val="00F3607B"/>
    <w:pPr>
      <w:pBdr>
        <w:top w:val="none" w:sz="0" w:space="0" w:color="auto"/>
      </w:pBdr>
      <w:spacing w:before="100" w:beforeAutospacing="1"/>
    </w:pPr>
  </w:style>
  <w:style w:type="paragraph" w:customStyle="1" w:styleId="StyleSubTitle3Blue-Gray">
    <w:name w:val="Style Sub Title 3 + Blue-Gray"/>
    <w:basedOn w:val="SubTitle3"/>
    <w:link w:val="StyleSubTitle3Blue-GrayChar"/>
    <w:rsid w:val="00A41C0F"/>
    <w:pPr>
      <w:pBdr>
        <w:top w:val="single" w:sz="8" w:space="1" w:color="666699"/>
      </w:pBdr>
    </w:pPr>
    <w:rPr>
      <w:color w:val="666699"/>
    </w:rPr>
  </w:style>
  <w:style w:type="character" w:customStyle="1" w:styleId="SubTitle3Char">
    <w:name w:val="Sub Title 3 Char"/>
    <w:link w:val="SubTitle3"/>
    <w:rsid w:val="00A41C0F"/>
    <w:rPr>
      <w:rFonts w:ascii="Verdana" w:hAnsi="Verdana"/>
      <w:sz w:val="24"/>
      <w:lang w:val="en-US" w:eastAsia="en-US" w:bidi="ar-SA"/>
    </w:rPr>
  </w:style>
  <w:style w:type="character" w:customStyle="1" w:styleId="StyleSubTitle3Blue-GrayChar">
    <w:name w:val="Style Sub Title 3 + Blue-Gray Char"/>
    <w:link w:val="StyleSubTitle3Blue-Gray"/>
    <w:rsid w:val="00A41C0F"/>
    <w:rPr>
      <w:rFonts w:ascii="Verdana" w:hAnsi="Verdana"/>
      <w:color w:val="666699"/>
      <w:sz w:val="24"/>
      <w:lang w:val="en-US" w:eastAsia="en-US" w:bidi="ar-SA"/>
    </w:rPr>
  </w:style>
  <w:style w:type="paragraph" w:customStyle="1" w:styleId="StyleDocTitle-RightRightSinglesolidlineBlue-Gray3pt">
    <w:name w:val="Style Doc Title-Right + Right: (Single solid line Blue-Gray  3 pt..."/>
    <w:basedOn w:val="DocTitle-Right"/>
    <w:autoRedefine/>
    <w:rsid w:val="00244D37"/>
    <w:pPr>
      <w:pBdr>
        <w:left w:val="single" w:sz="24" w:space="4" w:color="666699"/>
      </w:pBdr>
      <w:jc w:val="left"/>
    </w:pPr>
    <w:rPr>
      <w:sz w:val="44"/>
      <w:szCs w:val="44"/>
    </w:rPr>
  </w:style>
  <w:style w:type="paragraph" w:customStyle="1" w:styleId="StyleHeader2TopSinglesolidlineViolet1ptLinewidth">
    <w:name w:val="Style Header 2 + Top: (Single solid line Violet  1 pt Line width..."/>
    <w:basedOn w:val="Header2"/>
    <w:autoRedefine/>
    <w:rsid w:val="00324349"/>
  </w:style>
  <w:style w:type="paragraph" w:customStyle="1" w:styleId="StyleFooterTopSinglesolidlineBlue-Gray1ptLinewidth">
    <w:name w:val="Style Footer + Top: (Single solid line Blue-Gray  1 pt Line width..."/>
    <w:basedOn w:val="Footer"/>
    <w:rsid w:val="00FB7F19"/>
    <w:pPr>
      <w:pBdr>
        <w:top w:val="none" w:sz="0" w:space="0" w:color="auto"/>
      </w:pBdr>
    </w:pPr>
    <w:rPr>
      <w:rFonts w:eastAsia="Times New Roman"/>
    </w:rPr>
  </w:style>
  <w:style w:type="character" w:styleId="PlaceholderText">
    <w:name w:val="Placeholder Text"/>
    <w:uiPriority w:val="99"/>
    <w:semiHidden/>
    <w:rsid w:val="00DF75D3"/>
    <w:rPr>
      <w:color w:val="808080"/>
    </w:rPr>
  </w:style>
  <w:style w:type="paragraph" w:styleId="TOCHeading">
    <w:name w:val="TOC Heading"/>
    <w:basedOn w:val="Heading1"/>
    <w:next w:val="Normal"/>
    <w:uiPriority w:val="39"/>
    <w:unhideWhenUsed/>
    <w:qFormat/>
    <w:rsid w:val="00244D37"/>
    <w:pPr>
      <w:keepLines/>
      <w:spacing w:before="480" w:line="276" w:lineRule="auto"/>
      <w:outlineLvl w:val="9"/>
    </w:pPr>
    <w:rPr>
      <w:rFonts w:ascii="Cambria" w:eastAsia="Times New Roman" w:hAnsi="Cambria"/>
      <w:b w:val="0"/>
      <w:bCs w:val="0"/>
      <w:color w:val="365F91"/>
      <w:lang w:eastAsia="ja-JP"/>
    </w:rPr>
  </w:style>
  <w:style w:type="paragraph" w:styleId="TOC1">
    <w:name w:val="toc 1"/>
    <w:basedOn w:val="Normal"/>
    <w:next w:val="Normal"/>
    <w:autoRedefine/>
    <w:uiPriority w:val="39"/>
    <w:qFormat/>
    <w:rsid w:val="00942376"/>
    <w:pPr>
      <w:ind w:left="142"/>
    </w:pPr>
    <w:rPr>
      <w:rFonts w:ascii="Calibri" w:hAnsi="Calibri"/>
      <w:b/>
      <w:bCs/>
      <w:caps/>
      <w:sz w:val="20"/>
    </w:rPr>
  </w:style>
  <w:style w:type="paragraph" w:styleId="TOC3">
    <w:name w:val="toc 3"/>
    <w:basedOn w:val="Normal"/>
    <w:next w:val="Normal"/>
    <w:autoRedefine/>
    <w:uiPriority w:val="39"/>
    <w:qFormat/>
    <w:rsid w:val="007B7501"/>
    <w:pPr>
      <w:tabs>
        <w:tab w:val="left" w:pos="1100"/>
        <w:tab w:val="right" w:leader="dot" w:pos="9017"/>
      </w:tabs>
      <w:ind w:left="221"/>
    </w:pPr>
    <w:rPr>
      <w:rFonts w:ascii="Calibri" w:hAnsi="Calibri"/>
      <w:i/>
      <w:iCs/>
      <w:sz w:val="20"/>
    </w:rPr>
  </w:style>
  <w:style w:type="character" w:styleId="Hyperlink">
    <w:name w:val="Hyperlink"/>
    <w:uiPriority w:val="99"/>
    <w:unhideWhenUsed/>
    <w:rsid w:val="00244D37"/>
    <w:rPr>
      <w:color w:val="0000FF"/>
      <w:u w:val="single"/>
    </w:rPr>
  </w:style>
  <w:style w:type="paragraph" w:customStyle="1" w:styleId="StyleHeading1RightBefore48ptAfter2pt">
    <w:name w:val="Style Heading 1 + Right Before:  48 pt After:  2 pt"/>
    <w:basedOn w:val="Heading1"/>
    <w:rsid w:val="00EF6A9E"/>
    <w:pPr>
      <w:numPr>
        <w:numId w:val="0"/>
      </w:numPr>
      <w:spacing w:before="960" w:after="40"/>
      <w:ind w:left="432" w:hanging="432"/>
      <w:jc w:val="right"/>
    </w:pPr>
    <w:rPr>
      <w:rFonts w:eastAsia="Times New Roman"/>
    </w:rPr>
  </w:style>
  <w:style w:type="paragraph" w:customStyle="1" w:styleId="StyleSubTitle216ptBlue-GrayAfter72pt">
    <w:name w:val="Style Sub Title 2 + 16 pt Blue-Gray After:  72 pt"/>
    <w:basedOn w:val="SubTitle2"/>
    <w:rsid w:val="00EF6A9E"/>
    <w:pPr>
      <w:spacing w:after="1440"/>
    </w:pPr>
    <w:rPr>
      <w:sz w:val="32"/>
    </w:rPr>
  </w:style>
  <w:style w:type="paragraph" w:customStyle="1" w:styleId="StyleSubTitle2Blue-GrayAfter72pt">
    <w:name w:val="Style Sub Title 2 + Blue-Gray After:  72 pt"/>
    <w:basedOn w:val="SubTitle2"/>
    <w:rsid w:val="00EF6A9E"/>
    <w:pPr>
      <w:spacing w:after="1440"/>
    </w:pPr>
  </w:style>
  <w:style w:type="paragraph" w:styleId="TOC2">
    <w:name w:val="toc 2"/>
    <w:basedOn w:val="Normal"/>
    <w:next w:val="Normal"/>
    <w:autoRedefine/>
    <w:uiPriority w:val="39"/>
    <w:unhideWhenUsed/>
    <w:qFormat/>
    <w:rsid w:val="007B7501"/>
    <w:pPr>
      <w:tabs>
        <w:tab w:val="left" w:pos="880"/>
        <w:tab w:val="right" w:leader="dot" w:pos="9017"/>
      </w:tabs>
      <w:ind w:left="221"/>
    </w:pPr>
    <w:rPr>
      <w:rFonts w:ascii="Calibri" w:hAnsi="Calibri"/>
      <w:smallCaps/>
      <w:sz w:val="20"/>
    </w:rPr>
  </w:style>
  <w:style w:type="paragraph" w:styleId="TOC4">
    <w:name w:val="toc 4"/>
    <w:basedOn w:val="Normal"/>
    <w:next w:val="Normal"/>
    <w:autoRedefine/>
    <w:rsid w:val="00C82FE2"/>
    <w:pPr>
      <w:ind w:left="660"/>
    </w:pPr>
    <w:rPr>
      <w:rFonts w:ascii="Calibri" w:hAnsi="Calibri"/>
      <w:sz w:val="18"/>
      <w:szCs w:val="18"/>
    </w:rPr>
  </w:style>
  <w:style w:type="paragraph" w:styleId="TOC5">
    <w:name w:val="toc 5"/>
    <w:basedOn w:val="Normal"/>
    <w:next w:val="Normal"/>
    <w:autoRedefine/>
    <w:rsid w:val="00C82FE2"/>
    <w:pPr>
      <w:ind w:left="880"/>
    </w:pPr>
    <w:rPr>
      <w:rFonts w:ascii="Calibri" w:hAnsi="Calibri"/>
      <w:sz w:val="18"/>
      <w:szCs w:val="18"/>
    </w:rPr>
  </w:style>
  <w:style w:type="paragraph" w:styleId="TOC6">
    <w:name w:val="toc 6"/>
    <w:basedOn w:val="Normal"/>
    <w:next w:val="Normal"/>
    <w:autoRedefine/>
    <w:rsid w:val="00C82FE2"/>
    <w:pPr>
      <w:ind w:left="1100"/>
    </w:pPr>
    <w:rPr>
      <w:rFonts w:ascii="Calibri" w:hAnsi="Calibri"/>
      <w:sz w:val="18"/>
      <w:szCs w:val="18"/>
    </w:rPr>
  </w:style>
  <w:style w:type="paragraph" w:styleId="TOC7">
    <w:name w:val="toc 7"/>
    <w:basedOn w:val="Normal"/>
    <w:next w:val="Normal"/>
    <w:autoRedefine/>
    <w:rsid w:val="00C82FE2"/>
    <w:pPr>
      <w:ind w:left="1320"/>
    </w:pPr>
    <w:rPr>
      <w:rFonts w:ascii="Calibri" w:hAnsi="Calibri"/>
      <w:sz w:val="18"/>
      <w:szCs w:val="18"/>
    </w:rPr>
  </w:style>
  <w:style w:type="paragraph" w:styleId="TOC8">
    <w:name w:val="toc 8"/>
    <w:basedOn w:val="Normal"/>
    <w:next w:val="Normal"/>
    <w:autoRedefine/>
    <w:rsid w:val="00C82FE2"/>
    <w:pPr>
      <w:ind w:left="1540"/>
    </w:pPr>
    <w:rPr>
      <w:rFonts w:ascii="Calibri" w:hAnsi="Calibri"/>
      <w:sz w:val="18"/>
      <w:szCs w:val="18"/>
    </w:rPr>
  </w:style>
  <w:style w:type="paragraph" w:styleId="TOC9">
    <w:name w:val="toc 9"/>
    <w:basedOn w:val="Normal"/>
    <w:next w:val="Normal"/>
    <w:autoRedefine/>
    <w:rsid w:val="00C82FE2"/>
    <w:pPr>
      <w:ind w:left="1760"/>
    </w:pPr>
    <w:rPr>
      <w:rFonts w:ascii="Calibri" w:hAnsi="Calibri"/>
      <w:sz w:val="18"/>
      <w:szCs w:val="18"/>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2C41C7"/>
    <w:pPr>
      <w:numPr>
        <w:numId w:val="1"/>
      </w:numPr>
    </w:pPr>
  </w:style>
  <w:style w:type="character" w:styleId="IntenseEmphasis">
    <w:name w:val="Intense Emphasis"/>
    <w:basedOn w:val="DefaultParagraphFont"/>
    <w:uiPriority w:val="21"/>
    <w:qFormat/>
    <w:rsid w:val="004139CF"/>
    <w:rPr>
      <w:i/>
      <w:iCs/>
      <w:color w:val="4F81BD" w:themeColor="accent1"/>
    </w:rPr>
  </w:style>
  <w:style w:type="paragraph" w:customStyle="1" w:styleId="StyleStyleSubTitle216ptBlue-GrayAfter72ptRight">
    <w:name w:val="Style Style Sub Title 2 + 16 pt Blue-Gray After:  72 pt + Right"/>
    <w:basedOn w:val="StyleSubTitle216ptBlue-GrayAfter72pt"/>
    <w:rsid w:val="00772FC2"/>
    <w:pPr>
      <w:spacing w:after="600"/>
      <w:jc w:val="right"/>
    </w:pPr>
    <w:rPr>
      <w:iCs w:val="0"/>
    </w:rPr>
  </w:style>
  <w:style w:type="table" w:customStyle="1" w:styleId="GridTable1Light-Accent11">
    <w:name w:val="Grid Table 1 Light - Accent 11"/>
    <w:basedOn w:val="TableNormal"/>
    <w:uiPriority w:val="46"/>
    <w:rsid w:val="00A714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rsid w:val="00A714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Subtitle">
    <w:name w:val="Subtitle"/>
    <w:basedOn w:val="Normal"/>
    <w:next w:val="Normal"/>
    <w:link w:val="SubtitleChar"/>
    <w:uiPriority w:val="11"/>
    <w:qFormat/>
    <w:rsid w:val="00D650E3"/>
    <w:pPr>
      <w:numPr>
        <w:ilvl w:val="1"/>
      </w:numPr>
      <w:spacing w:before="0" w:after="240"/>
    </w:pPr>
    <w:rPr>
      <w:rFonts w:asciiTheme="majorHAnsi" w:eastAsiaTheme="majorEastAsia" w:hAnsiTheme="majorHAnsi" w:cstheme="majorBidi"/>
      <w:i/>
      <w:color w:val="0166AA"/>
      <w:sz w:val="24"/>
      <w:szCs w:val="28"/>
      <w:lang w:eastAsia="ja-JP"/>
    </w:rPr>
  </w:style>
  <w:style w:type="character" w:customStyle="1" w:styleId="SubtitleChar">
    <w:name w:val="Subtitle Char"/>
    <w:basedOn w:val="DefaultParagraphFont"/>
    <w:link w:val="Subtitle"/>
    <w:uiPriority w:val="11"/>
    <w:rsid w:val="00D650E3"/>
    <w:rPr>
      <w:rFonts w:asciiTheme="majorHAnsi" w:eastAsiaTheme="majorEastAsia" w:hAnsiTheme="majorHAnsi" w:cstheme="majorBidi"/>
      <w:i/>
      <w:color w:val="0166AA"/>
      <w:sz w:val="24"/>
      <w:szCs w:val="28"/>
      <w:lang w:eastAsia="ja-JP"/>
    </w:rPr>
  </w:style>
  <w:style w:type="table" w:customStyle="1" w:styleId="GridTable7Colorful-Accent11">
    <w:name w:val="Grid Table 7 Colorful - Accent 11"/>
    <w:basedOn w:val="TableNormal"/>
    <w:uiPriority w:val="52"/>
    <w:rsid w:val="003321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rsid w:val="003321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ghtShading-Accent1">
    <w:name w:val="Light Shading Accent 1"/>
    <w:basedOn w:val="TableNormal"/>
    <w:uiPriority w:val="60"/>
    <w:rsid w:val="008663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C44EAC"/>
    <w:rPr>
      <w:rFonts w:ascii="Verdana" w:hAnsi="Verdana"/>
      <w:sz w:val="22"/>
      <w:lang w:eastAsia="en-US"/>
    </w:rPr>
  </w:style>
  <w:style w:type="character" w:customStyle="1" w:styleId="HeaderChar">
    <w:name w:val="Header Char"/>
    <w:basedOn w:val="DefaultParagraphFont"/>
    <w:link w:val="Header"/>
    <w:uiPriority w:val="99"/>
    <w:rsid w:val="006B491D"/>
    <w:rPr>
      <w:rFonts w:ascii="Verdana" w:hAnsi="Verdana"/>
      <w:color w:val="244061" w:themeColor="accent1" w:themeShade="80"/>
      <w:sz w:val="24"/>
      <w:szCs w:val="24"/>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1"/>
    <w:locked/>
    <w:rsid w:val="002C41C7"/>
    <w:rPr>
      <w:rFonts w:ascii="Verdana" w:hAnsi="Verdana"/>
      <w:sz w:val="22"/>
      <w:lang w:eastAsia="en-US"/>
    </w:rPr>
  </w:style>
  <w:style w:type="character" w:customStyle="1" w:styleId="Heading4Char">
    <w:name w:val="Heading 4 Char"/>
    <w:basedOn w:val="DefaultParagraphFont"/>
    <w:link w:val="Heading4"/>
    <w:rsid w:val="0062222A"/>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62222A"/>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62222A"/>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62222A"/>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62222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2222A"/>
    <w:rPr>
      <w:rFonts w:asciiTheme="majorHAnsi" w:eastAsiaTheme="majorEastAsia" w:hAnsiTheme="majorHAnsi" w:cstheme="majorBidi"/>
      <w:i/>
      <w:iCs/>
      <w:color w:val="272727" w:themeColor="text1" w:themeTint="D8"/>
      <w:sz w:val="21"/>
      <w:szCs w:val="21"/>
      <w:lang w:eastAsia="en-US"/>
    </w:rPr>
  </w:style>
  <w:style w:type="paragraph" w:customStyle="1" w:styleId="CCSNormalText">
    <w:name w:val="CCS Normal Text"/>
    <w:basedOn w:val="Normal"/>
    <w:link w:val="CCSNormalTextChar"/>
    <w:qFormat/>
    <w:rsid w:val="003863C4"/>
    <w:pPr>
      <w:spacing w:before="60"/>
    </w:pPr>
    <w:rPr>
      <w:rFonts w:ascii="Arial" w:eastAsiaTheme="minorHAnsi" w:hAnsi="Arial" w:cs="Arial"/>
      <w:szCs w:val="22"/>
      <w:lang w:eastAsia="zh-CN" w:bidi="th-TH"/>
    </w:rPr>
  </w:style>
  <w:style w:type="character" w:customStyle="1" w:styleId="CCSNormalTextChar">
    <w:name w:val="CCS Normal Text Char"/>
    <w:basedOn w:val="DefaultParagraphFont"/>
    <w:link w:val="CCSNormalText"/>
    <w:locked/>
    <w:rsid w:val="003863C4"/>
    <w:rPr>
      <w:rFonts w:ascii="Arial" w:eastAsiaTheme="minorHAnsi" w:hAnsi="Arial" w:cs="Arial"/>
      <w:sz w:val="22"/>
      <w:szCs w:val="22"/>
      <w:lang w:eastAsia="zh-CN" w:bidi="th-TH"/>
    </w:rPr>
  </w:style>
  <w:style w:type="character" w:styleId="Strong">
    <w:name w:val="Strong"/>
    <w:qFormat/>
    <w:rsid w:val="00D54745"/>
  </w:style>
  <w:style w:type="paragraph" w:customStyle="1" w:styleId="CCS-Heading1">
    <w:name w:val="CCS-Heading 1"/>
    <w:basedOn w:val="Normal"/>
    <w:qFormat/>
    <w:rsid w:val="000D0CA3"/>
    <w:pPr>
      <w:spacing w:before="60" w:after="60"/>
      <w:jc w:val="center"/>
    </w:pPr>
    <w:rPr>
      <w:rFonts w:ascii="Arial" w:eastAsiaTheme="minorHAnsi" w:hAnsi="Arial" w:cs="Arial"/>
      <w:b/>
      <w:sz w:val="34"/>
      <w:szCs w:val="34"/>
    </w:rPr>
  </w:style>
  <w:style w:type="paragraph" w:customStyle="1" w:styleId="CCS-Heading3">
    <w:name w:val="CCS-Heading 3"/>
    <w:basedOn w:val="Normal"/>
    <w:link w:val="CCS-Heading3Char"/>
    <w:qFormat/>
    <w:rsid w:val="000D0CA3"/>
    <w:pPr>
      <w:tabs>
        <w:tab w:val="left" w:pos="1134"/>
      </w:tabs>
      <w:spacing w:before="240"/>
    </w:pPr>
    <w:rPr>
      <w:rFonts w:ascii="Arial" w:eastAsiaTheme="minorHAnsi" w:hAnsi="Arial" w:cs="Arial"/>
      <w:b/>
      <w:sz w:val="28"/>
      <w:szCs w:val="28"/>
    </w:rPr>
  </w:style>
  <w:style w:type="paragraph" w:customStyle="1" w:styleId="CCS-NumberedList">
    <w:name w:val="CCS- Numbered List"/>
    <w:basedOn w:val="Normal"/>
    <w:rsid w:val="000D0CA3"/>
    <w:pPr>
      <w:numPr>
        <w:numId w:val="3"/>
      </w:numPr>
    </w:pPr>
    <w:rPr>
      <w:rFonts w:ascii="Arial" w:eastAsiaTheme="minorHAnsi" w:hAnsi="Arial" w:cs="Arial"/>
      <w:szCs w:val="22"/>
      <w:lang w:eastAsia="zh-CN" w:bidi="th-TH"/>
    </w:rPr>
  </w:style>
  <w:style w:type="character" w:customStyle="1" w:styleId="CCS-Heading3Char">
    <w:name w:val="CCS-Heading 3 Char"/>
    <w:basedOn w:val="DefaultParagraphFont"/>
    <w:link w:val="CCS-Heading3"/>
    <w:locked/>
    <w:rsid w:val="000D0CA3"/>
    <w:rPr>
      <w:rFonts w:ascii="Arial" w:eastAsiaTheme="minorHAnsi" w:hAnsi="Arial" w:cs="Arial"/>
      <w:b/>
      <w:sz w:val="28"/>
      <w:szCs w:val="28"/>
      <w:lang w:eastAsia="en-US"/>
    </w:rPr>
  </w:style>
  <w:style w:type="paragraph" w:customStyle="1" w:styleId="CCS-Heading2">
    <w:name w:val="CCS-Heading 2"/>
    <w:basedOn w:val="Normal"/>
    <w:qFormat/>
    <w:rsid w:val="00142152"/>
    <w:pPr>
      <w:spacing w:before="240" w:after="240"/>
      <w:jc w:val="center"/>
    </w:pPr>
    <w:rPr>
      <w:rFonts w:ascii="Arial" w:eastAsiaTheme="minorHAnsi" w:hAnsi="Arial" w:cs="Arial"/>
      <w:b/>
      <w:sz w:val="32"/>
      <w:szCs w:val="32"/>
    </w:rPr>
  </w:style>
  <w:style w:type="table" w:styleId="PlainTable1">
    <w:name w:val="Plain Table 1"/>
    <w:basedOn w:val="TableNormal"/>
    <w:uiPriority w:val="41"/>
    <w:rsid w:val="00A072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4041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0412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7B7501"/>
    <w:pPr>
      <w:spacing w:before="120"/>
      <w:ind w:left="714" w:hanging="357"/>
    </w:pPr>
    <w:rPr>
      <w:rFonts w:ascii="Verdana" w:hAnsi="Verdana"/>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rsid w:val="007B7501"/>
    <w:pPr>
      <w:spacing w:line="276" w:lineRule="auto"/>
      <w:ind w:left="709"/>
    </w:pPr>
    <w:rPr>
      <w:rFonts w:eastAsia="Times New Roman" w:cs="Arial"/>
      <w:sz w:val="16"/>
      <w:lang w:eastAsia="en-AU"/>
    </w:rPr>
  </w:style>
  <w:style w:type="character" w:customStyle="1" w:styleId="FootnoteTextChar">
    <w:name w:val="Footnote Text Char"/>
    <w:basedOn w:val="DefaultParagraphFont"/>
    <w:link w:val="FootnoteText"/>
    <w:uiPriority w:val="99"/>
    <w:rsid w:val="007B7501"/>
    <w:rPr>
      <w:rFonts w:ascii="Verdana" w:eastAsia="Times New Roman" w:hAnsi="Verdana" w:cs="Arial"/>
      <w:sz w:val="16"/>
    </w:rPr>
  </w:style>
  <w:style w:type="character" w:styleId="FootnoteReference">
    <w:name w:val="footnote reference"/>
    <w:uiPriority w:val="99"/>
    <w:rsid w:val="007B7501"/>
    <w:rPr>
      <w:vertAlign w:val="superscript"/>
    </w:rPr>
  </w:style>
  <w:style w:type="table" w:customStyle="1" w:styleId="ListTable4-Accent11">
    <w:name w:val="List Table 4 - Accent 11"/>
    <w:basedOn w:val="TableNormal"/>
    <w:uiPriority w:val="49"/>
    <w:rsid w:val="007B7501"/>
    <w:pPr>
      <w:spacing w:before="120"/>
      <w:ind w:left="714" w:hanging="357"/>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
    <w:name w:val="st"/>
    <w:basedOn w:val="DefaultParagraphFont"/>
    <w:rsid w:val="000E1C81"/>
  </w:style>
  <w:style w:type="character" w:styleId="Emphasis">
    <w:name w:val="Emphasis"/>
    <w:basedOn w:val="DefaultParagraphFont"/>
    <w:uiPriority w:val="20"/>
    <w:qFormat/>
    <w:rsid w:val="000E1C81"/>
    <w:rPr>
      <w:i/>
      <w:iCs/>
    </w:rPr>
  </w:style>
  <w:style w:type="character" w:customStyle="1" w:styleId="lstextview">
    <w:name w:val="lstextview"/>
    <w:basedOn w:val="DefaultParagraphFont"/>
    <w:rsid w:val="00AF1CDF"/>
  </w:style>
  <w:style w:type="character" w:customStyle="1" w:styleId="lrzxr">
    <w:name w:val="lrzxr"/>
    <w:basedOn w:val="DefaultParagraphFont"/>
    <w:rsid w:val="00AC5788"/>
  </w:style>
  <w:style w:type="paragraph" w:styleId="PlainText">
    <w:name w:val="Plain Text"/>
    <w:basedOn w:val="Normal"/>
    <w:link w:val="PlainTextChar"/>
    <w:uiPriority w:val="99"/>
    <w:semiHidden/>
    <w:unhideWhenUsed/>
    <w:rsid w:val="00942129"/>
    <w:pPr>
      <w:spacing w:before="0"/>
    </w:pPr>
    <w:rPr>
      <w:rFonts w:ascii="Calibri" w:eastAsia="Times New Roman" w:hAnsi="Calibri" w:cs="Calibri"/>
      <w:szCs w:val="21"/>
      <w:lang w:eastAsia="en-AU"/>
    </w:rPr>
  </w:style>
  <w:style w:type="character" w:customStyle="1" w:styleId="PlainTextChar">
    <w:name w:val="Plain Text Char"/>
    <w:basedOn w:val="DefaultParagraphFont"/>
    <w:link w:val="PlainText"/>
    <w:uiPriority w:val="99"/>
    <w:semiHidden/>
    <w:rsid w:val="00942129"/>
    <w:rPr>
      <w:rFonts w:ascii="Calibri" w:eastAsia="Times New Roman" w:hAnsi="Calibri" w:cs="Calibri"/>
      <w:sz w:val="22"/>
      <w:szCs w:val="21"/>
    </w:rPr>
  </w:style>
  <w:style w:type="paragraph" w:styleId="NormalWeb">
    <w:name w:val="Normal (Web)"/>
    <w:basedOn w:val="Normal"/>
    <w:uiPriority w:val="99"/>
    <w:semiHidden/>
    <w:unhideWhenUsed/>
    <w:rsid w:val="00666FBB"/>
    <w:pPr>
      <w:spacing w:before="100" w:beforeAutospacing="1" w:after="100" w:afterAutospacing="1"/>
    </w:pPr>
    <w:rPr>
      <w:rFonts w:ascii="Times New Roman" w:eastAsia="Times New Roman" w:hAnsi="Times New Roman"/>
      <w:sz w:val="24"/>
      <w:szCs w:val="24"/>
      <w:lang w:eastAsia="en-AU"/>
    </w:rPr>
  </w:style>
  <w:style w:type="character" w:customStyle="1" w:styleId="FooterChar">
    <w:name w:val="Footer Char"/>
    <w:basedOn w:val="DefaultParagraphFont"/>
    <w:link w:val="Footer"/>
    <w:uiPriority w:val="99"/>
    <w:rsid w:val="00E907A5"/>
    <w:rPr>
      <w:rFonts w:ascii="Verdana" w:hAnsi="Verdana"/>
      <w:bCs/>
      <w:color w:val="0166AA"/>
      <w:lang w:eastAsia="en-US"/>
    </w:rPr>
  </w:style>
  <w:style w:type="character" w:customStyle="1" w:styleId="description">
    <w:name w:val="description"/>
    <w:basedOn w:val="DefaultParagraphFont"/>
    <w:rsid w:val="00BB77D8"/>
  </w:style>
  <w:style w:type="character" w:customStyle="1" w:styleId="CommentTextChar">
    <w:name w:val="Comment Text Char"/>
    <w:basedOn w:val="DefaultParagraphFont"/>
    <w:link w:val="CommentText"/>
    <w:semiHidden/>
    <w:rsid w:val="00C81996"/>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37162">
      <w:bodyDiv w:val="1"/>
      <w:marLeft w:val="0"/>
      <w:marRight w:val="0"/>
      <w:marTop w:val="0"/>
      <w:marBottom w:val="0"/>
      <w:divBdr>
        <w:top w:val="none" w:sz="0" w:space="0" w:color="auto"/>
        <w:left w:val="none" w:sz="0" w:space="0" w:color="auto"/>
        <w:bottom w:val="none" w:sz="0" w:space="0" w:color="auto"/>
        <w:right w:val="none" w:sz="0" w:space="0" w:color="auto"/>
      </w:divBdr>
    </w:div>
    <w:div w:id="449320950">
      <w:bodyDiv w:val="1"/>
      <w:marLeft w:val="0"/>
      <w:marRight w:val="0"/>
      <w:marTop w:val="0"/>
      <w:marBottom w:val="0"/>
      <w:divBdr>
        <w:top w:val="none" w:sz="0" w:space="0" w:color="auto"/>
        <w:left w:val="none" w:sz="0" w:space="0" w:color="auto"/>
        <w:bottom w:val="none" w:sz="0" w:space="0" w:color="auto"/>
        <w:right w:val="none" w:sz="0" w:space="0" w:color="auto"/>
      </w:divBdr>
    </w:div>
    <w:div w:id="521211065">
      <w:bodyDiv w:val="1"/>
      <w:marLeft w:val="0"/>
      <w:marRight w:val="0"/>
      <w:marTop w:val="0"/>
      <w:marBottom w:val="0"/>
      <w:divBdr>
        <w:top w:val="none" w:sz="0" w:space="0" w:color="auto"/>
        <w:left w:val="none" w:sz="0" w:space="0" w:color="auto"/>
        <w:bottom w:val="none" w:sz="0" w:space="0" w:color="auto"/>
        <w:right w:val="none" w:sz="0" w:space="0" w:color="auto"/>
      </w:divBdr>
    </w:div>
    <w:div w:id="573320604">
      <w:bodyDiv w:val="1"/>
      <w:marLeft w:val="0"/>
      <w:marRight w:val="0"/>
      <w:marTop w:val="0"/>
      <w:marBottom w:val="0"/>
      <w:divBdr>
        <w:top w:val="none" w:sz="0" w:space="0" w:color="auto"/>
        <w:left w:val="none" w:sz="0" w:space="0" w:color="auto"/>
        <w:bottom w:val="none" w:sz="0" w:space="0" w:color="auto"/>
        <w:right w:val="none" w:sz="0" w:space="0" w:color="auto"/>
      </w:divBdr>
    </w:div>
    <w:div w:id="598606080">
      <w:bodyDiv w:val="1"/>
      <w:marLeft w:val="0"/>
      <w:marRight w:val="0"/>
      <w:marTop w:val="0"/>
      <w:marBottom w:val="0"/>
      <w:divBdr>
        <w:top w:val="none" w:sz="0" w:space="0" w:color="auto"/>
        <w:left w:val="none" w:sz="0" w:space="0" w:color="auto"/>
        <w:bottom w:val="none" w:sz="0" w:space="0" w:color="auto"/>
        <w:right w:val="none" w:sz="0" w:space="0" w:color="auto"/>
      </w:divBdr>
    </w:div>
    <w:div w:id="611941896">
      <w:bodyDiv w:val="1"/>
      <w:marLeft w:val="0"/>
      <w:marRight w:val="0"/>
      <w:marTop w:val="0"/>
      <w:marBottom w:val="0"/>
      <w:divBdr>
        <w:top w:val="none" w:sz="0" w:space="0" w:color="auto"/>
        <w:left w:val="none" w:sz="0" w:space="0" w:color="auto"/>
        <w:bottom w:val="none" w:sz="0" w:space="0" w:color="auto"/>
        <w:right w:val="none" w:sz="0" w:space="0" w:color="auto"/>
      </w:divBdr>
    </w:div>
    <w:div w:id="718476430">
      <w:bodyDiv w:val="1"/>
      <w:marLeft w:val="0"/>
      <w:marRight w:val="0"/>
      <w:marTop w:val="0"/>
      <w:marBottom w:val="0"/>
      <w:divBdr>
        <w:top w:val="none" w:sz="0" w:space="0" w:color="auto"/>
        <w:left w:val="none" w:sz="0" w:space="0" w:color="auto"/>
        <w:bottom w:val="none" w:sz="0" w:space="0" w:color="auto"/>
        <w:right w:val="none" w:sz="0" w:space="0" w:color="auto"/>
      </w:divBdr>
    </w:div>
    <w:div w:id="806363176">
      <w:bodyDiv w:val="1"/>
      <w:marLeft w:val="0"/>
      <w:marRight w:val="0"/>
      <w:marTop w:val="0"/>
      <w:marBottom w:val="0"/>
      <w:divBdr>
        <w:top w:val="none" w:sz="0" w:space="0" w:color="auto"/>
        <w:left w:val="none" w:sz="0" w:space="0" w:color="auto"/>
        <w:bottom w:val="none" w:sz="0" w:space="0" w:color="auto"/>
        <w:right w:val="none" w:sz="0" w:space="0" w:color="auto"/>
      </w:divBdr>
    </w:div>
    <w:div w:id="998996804">
      <w:bodyDiv w:val="1"/>
      <w:marLeft w:val="0"/>
      <w:marRight w:val="0"/>
      <w:marTop w:val="0"/>
      <w:marBottom w:val="0"/>
      <w:divBdr>
        <w:top w:val="none" w:sz="0" w:space="0" w:color="auto"/>
        <w:left w:val="none" w:sz="0" w:space="0" w:color="auto"/>
        <w:bottom w:val="none" w:sz="0" w:space="0" w:color="auto"/>
        <w:right w:val="none" w:sz="0" w:space="0" w:color="auto"/>
      </w:divBdr>
    </w:div>
    <w:div w:id="1039285013">
      <w:bodyDiv w:val="1"/>
      <w:marLeft w:val="0"/>
      <w:marRight w:val="0"/>
      <w:marTop w:val="0"/>
      <w:marBottom w:val="0"/>
      <w:divBdr>
        <w:top w:val="none" w:sz="0" w:space="0" w:color="auto"/>
        <w:left w:val="none" w:sz="0" w:space="0" w:color="auto"/>
        <w:bottom w:val="none" w:sz="0" w:space="0" w:color="auto"/>
        <w:right w:val="none" w:sz="0" w:space="0" w:color="auto"/>
      </w:divBdr>
    </w:div>
    <w:div w:id="1141726159">
      <w:bodyDiv w:val="1"/>
      <w:marLeft w:val="0"/>
      <w:marRight w:val="0"/>
      <w:marTop w:val="0"/>
      <w:marBottom w:val="0"/>
      <w:divBdr>
        <w:top w:val="none" w:sz="0" w:space="0" w:color="auto"/>
        <w:left w:val="none" w:sz="0" w:space="0" w:color="auto"/>
        <w:bottom w:val="none" w:sz="0" w:space="0" w:color="auto"/>
        <w:right w:val="none" w:sz="0" w:space="0" w:color="auto"/>
      </w:divBdr>
    </w:div>
    <w:div w:id="1176072319">
      <w:bodyDiv w:val="1"/>
      <w:marLeft w:val="0"/>
      <w:marRight w:val="0"/>
      <w:marTop w:val="0"/>
      <w:marBottom w:val="0"/>
      <w:divBdr>
        <w:top w:val="none" w:sz="0" w:space="0" w:color="auto"/>
        <w:left w:val="none" w:sz="0" w:space="0" w:color="auto"/>
        <w:bottom w:val="none" w:sz="0" w:space="0" w:color="auto"/>
        <w:right w:val="none" w:sz="0" w:space="0" w:color="auto"/>
      </w:divBdr>
    </w:div>
    <w:div w:id="1224371547">
      <w:bodyDiv w:val="1"/>
      <w:marLeft w:val="0"/>
      <w:marRight w:val="0"/>
      <w:marTop w:val="0"/>
      <w:marBottom w:val="0"/>
      <w:divBdr>
        <w:top w:val="none" w:sz="0" w:space="0" w:color="auto"/>
        <w:left w:val="none" w:sz="0" w:space="0" w:color="auto"/>
        <w:bottom w:val="none" w:sz="0" w:space="0" w:color="auto"/>
        <w:right w:val="none" w:sz="0" w:space="0" w:color="auto"/>
      </w:divBdr>
    </w:div>
    <w:div w:id="1284117579">
      <w:bodyDiv w:val="1"/>
      <w:marLeft w:val="0"/>
      <w:marRight w:val="0"/>
      <w:marTop w:val="0"/>
      <w:marBottom w:val="0"/>
      <w:divBdr>
        <w:top w:val="none" w:sz="0" w:space="0" w:color="auto"/>
        <w:left w:val="none" w:sz="0" w:space="0" w:color="auto"/>
        <w:bottom w:val="none" w:sz="0" w:space="0" w:color="auto"/>
        <w:right w:val="none" w:sz="0" w:space="0" w:color="auto"/>
      </w:divBdr>
    </w:div>
    <w:div w:id="1572886455">
      <w:bodyDiv w:val="1"/>
      <w:marLeft w:val="0"/>
      <w:marRight w:val="0"/>
      <w:marTop w:val="0"/>
      <w:marBottom w:val="0"/>
      <w:divBdr>
        <w:top w:val="none" w:sz="0" w:space="0" w:color="auto"/>
        <w:left w:val="none" w:sz="0" w:space="0" w:color="auto"/>
        <w:bottom w:val="none" w:sz="0" w:space="0" w:color="auto"/>
        <w:right w:val="none" w:sz="0" w:space="0" w:color="auto"/>
      </w:divBdr>
    </w:div>
    <w:div w:id="1610508347">
      <w:bodyDiv w:val="1"/>
      <w:marLeft w:val="0"/>
      <w:marRight w:val="0"/>
      <w:marTop w:val="0"/>
      <w:marBottom w:val="0"/>
      <w:divBdr>
        <w:top w:val="none" w:sz="0" w:space="0" w:color="auto"/>
        <w:left w:val="none" w:sz="0" w:space="0" w:color="auto"/>
        <w:bottom w:val="none" w:sz="0" w:space="0" w:color="auto"/>
        <w:right w:val="none" w:sz="0" w:space="0" w:color="auto"/>
      </w:divBdr>
    </w:div>
    <w:div w:id="1616205074">
      <w:bodyDiv w:val="1"/>
      <w:marLeft w:val="0"/>
      <w:marRight w:val="0"/>
      <w:marTop w:val="0"/>
      <w:marBottom w:val="0"/>
      <w:divBdr>
        <w:top w:val="none" w:sz="0" w:space="0" w:color="auto"/>
        <w:left w:val="none" w:sz="0" w:space="0" w:color="auto"/>
        <w:bottom w:val="none" w:sz="0" w:space="0" w:color="auto"/>
        <w:right w:val="none" w:sz="0" w:space="0" w:color="auto"/>
      </w:divBdr>
    </w:div>
    <w:div w:id="1646817266">
      <w:bodyDiv w:val="1"/>
      <w:marLeft w:val="0"/>
      <w:marRight w:val="0"/>
      <w:marTop w:val="0"/>
      <w:marBottom w:val="0"/>
      <w:divBdr>
        <w:top w:val="none" w:sz="0" w:space="0" w:color="auto"/>
        <w:left w:val="none" w:sz="0" w:space="0" w:color="auto"/>
        <w:bottom w:val="none" w:sz="0" w:space="0" w:color="auto"/>
        <w:right w:val="none" w:sz="0" w:space="0" w:color="auto"/>
      </w:divBdr>
    </w:div>
    <w:div w:id="1683967632">
      <w:bodyDiv w:val="1"/>
      <w:marLeft w:val="0"/>
      <w:marRight w:val="0"/>
      <w:marTop w:val="0"/>
      <w:marBottom w:val="0"/>
      <w:divBdr>
        <w:top w:val="none" w:sz="0" w:space="0" w:color="auto"/>
        <w:left w:val="none" w:sz="0" w:space="0" w:color="auto"/>
        <w:bottom w:val="none" w:sz="0" w:space="0" w:color="auto"/>
        <w:right w:val="none" w:sz="0" w:space="0" w:color="auto"/>
      </w:divBdr>
    </w:div>
    <w:div w:id="1688021459">
      <w:bodyDiv w:val="1"/>
      <w:marLeft w:val="0"/>
      <w:marRight w:val="0"/>
      <w:marTop w:val="0"/>
      <w:marBottom w:val="0"/>
      <w:divBdr>
        <w:top w:val="none" w:sz="0" w:space="0" w:color="auto"/>
        <w:left w:val="none" w:sz="0" w:space="0" w:color="auto"/>
        <w:bottom w:val="none" w:sz="0" w:space="0" w:color="auto"/>
        <w:right w:val="none" w:sz="0" w:space="0" w:color="auto"/>
      </w:divBdr>
    </w:div>
    <w:div w:id="1711025725">
      <w:bodyDiv w:val="1"/>
      <w:marLeft w:val="0"/>
      <w:marRight w:val="0"/>
      <w:marTop w:val="0"/>
      <w:marBottom w:val="0"/>
      <w:divBdr>
        <w:top w:val="none" w:sz="0" w:space="0" w:color="auto"/>
        <w:left w:val="none" w:sz="0" w:space="0" w:color="auto"/>
        <w:bottom w:val="none" w:sz="0" w:space="0" w:color="auto"/>
        <w:right w:val="none" w:sz="0" w:space="0" w:color="auto"/>
      </w:divBdr>
    </w:div>
    <w:div w:id="20603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legislation.gov.au/Details/F2020L01055" TargetMode="External"/><Relationship Id="rId3" Type="http://schemas.openxmlformats.org/officeDocument/2006/relationships/styles" Target="styles.xml"/><Relationship Id="rId21" Type="http://schemas.openxmlformats.org/officeDocument/2006/relationships/hyperlink" Target="file:///C:\XFERS\PBS%20AIP%20(24Sep)\VRD\www.nps.org.au\australian-prescriber\articles\warfarin-tablet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legislation.gov.au/Details/F2019L01387"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legislation.gov.au/Details/F2019L01312"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ev.pbs.gov.au/content/embargo/2019-08-01/2019-08-01-downextracts-r1.zip" TargetMode="External"/><Relationship Id="rId28" Type="http://schemas.openxmlformats.org/officeDocument/2006/relationships/header" Target="header8.xml"/><Relationship Id="rId10" Type="http://schemas.openxmlformats.org/officeDocument/2006/relationships/hyperlink" Target="mailto:medications@msia.com.a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dev.pbs.gov.au/content/embargo/2019-08-01/2019-08-01-downextracts-r1.zip" TargetMode="Externa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ev.pbs.gov.au/embargo/index.html" TargetMode="External"/><Relationship Id="rId3" Type="http://schemas.openxmlformats.org/officeDocument/2006/relationships/hyperlink" Target="http://www.pbs.gov.au" TargetMode="External"/><Relationship Id="rId7" Type="http://schemas.openxmlformats.org/officeDocument/2006/relationships/hyperlink" Target="https://dev.pbs.gov.au/embargo/index.html" TargetMode="External"/><Relationship Id="rId2" Type="http://schemas.openxmlformats.org/officeDocument/2006/relationships/hyperlink" Target="http://www.tga.gov.au/industry/artg.htm" TargetMode="External"/><Relationship Id="rId1" Type="http://schemas.openxmlformats.org/officeDocument/2006/relationships/hyperlink" Target="http://www.comlaw.gov.au/Details/F2012L01200" TargetMode="External"/><Relationship Id="rId6" Type="http://schemas.openxmlformats.org/officeDocument/2006/relationships/hyperlink" Target="https://www.legislation.gov.au/Details/F2019L01387" TargetMode="External"/><Relationship Id="rId5" Type="http://schemas.openxmlformats.org/officeDocument/2006/relationships/hyperlink" Target="https://www.legislation.gov.au/Details/F2019L01312" TargetMode="External"/><Relationship Id="rId4" Type="http://schemas.openxmlformats.org/officeDocument/2006/relationships/hyperlink" Target="https://www1.health.gov.au/internet/budget/publishing.nsf/Content/budget2018-factsheet1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InternetSite</b:SourceType>
    <b:Guid>{64C0E8F0-C3C8-44BF-82EF-526A38435029}</b:Guid>
    <b:RefOrder>1</b:RefOrder>
  </b:Source>
</b:Sources>
</file>

<file path=customXml/itemProps1.xml><?xml version="1.0" encoding="utf-8"?>
<ds:datastoreItem xmlns:ds="http://schemas.openxmlformats.org/officeDocument/2006/customXml" ds:itemID="{50883E22-31F8-41D1-B684-9C1FD7CA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6131</Words>
  <Characters>40155</Characters>
  <Application>Microsoft Office Word</Application>
  <DocSecurity>0</DocSecurity>
  <Lines>933</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45729</CharactersWithSpaces>
  <SharedDoc>false</SharedDoc>
  <HLinks>
    <vt:vector size="156" baseType="variant">
      <vt:variant>
        <vt:i4>8257565</vt:i4>
      </vt:variant>
      <vt:variant>
        <vt:i4>156</vt:i4>
      </vt:variant>
      <vt:variant>
        <vt:i4>0</vt:i4>
      </vt:variant>
      <vt:variant>
        <vt:i4>5</vt:i4>
      </vt:variant>
      <vt:variant>
        <vt:lpwstr>mailto:medications@msia.com.au</vt:lpwstr>
      </vt:variant>
      <vt:variant>
        <vt:lpwstr/>
      </vt:variant>
      <vt:variant>
        <vt:i4>1179657</vt:i4>
      </vt:variant>
      <vt:variant>
        <vt:i4>150</vt:i4>
      </vt:variant>
      <vt:variant>
        <vt:i4>0</vt:i4>
      </vt:variant>
      <vt:variant>
        <vt:i4>5</vt:i4>
      </vt:variant>
      <vt:variant>
        <vt:lpwstr>https://nehta.org.au/aht/</vt:lpwstr>
      </vt:variant>
      <vt:variant>
        <vt:lpwstr/>
      </vt:variant>
      <vt:variant>
        <vt:i4>1179657</vt:i4>
      </vt:variant>
      <vt:variant>
        <vt:i4>147</vt:i4>
      </vt:variant>
      <vt:variant>
        <vt:i4>0</vt:i4>
      </vt:variant>
      <vt:variant>
        <vt:i4>5</vt:i4>
      </vt:variant>
      <vt:variant>
        <vt:lpwstr>https://nehta.org.au/aht/</vt:lpwstr>
      </vt:variant>
      <vt:variant>
        <vt:lpwstr/>
      </vt:variant>
      <vt:variant>
        <vt:i4>1703997</vt:i4>
      </vt:variant>
      <vt:variant>
        <vt:i4>140</vt:i4>
      </vt:variant>
      <vt:variant>
        <vt:i4>0</vt:i4>
      </vt:variant>
      <vt:variant>
        <vt:i4>5</vt:i4>
      </vt:variant>
      <vt:variant>
        <vt:lpwstr/>
      </vt:variant>
      <vt:variant>
        <vt:lpwstr>_Toc342041885</vt:lpwstr>
      </vt:variant>
      <vt:variant>
        <vt:i4>1703997</vt:i4>
      </vt:variant>
      <vt:variant>
        <vt:i4>134</vt:i4>
      </vt:variant>
      <vt:variant>
        <vt:i4>0</vt:i4>
      </vt:variant>
      <vt:variant>
        <vt:i4>5</vt:i4>
      </vt:variant>
      <vt:variant>
        <vt:lpwstr/>
      </vt:variant>
      <vt:variant>
        <vt:lpwstr>_Toc342041884</vt:lpwstr>
      </vt:variant>
      <vt:variant>
        <vt:i4>1703997</vt:i4>
      </vt:variant>
      <vt:variant>
        <vt:i4>128</vt:i4>
      </vt:variant>
      <vt:variant>
        <vt:i4>0</vt:i4>
      </vt:variant>
      <vt:variant>
        <vt:i4>5</vt:i4>
      </vt:variant>
      <vt:variant>
        <vt:lpwstr/>
      </vt:variant>
      <vt:variant>
        <vt:lpwstr>_Toc342041883</vt:lpwstr>
      </vt:variant>
      <vt:variant>
        <vt:i4>1703997</vt:i4>
      </vt:variant>
      <vt:variant>
        <vt:i4>122</vt:i4>
      </vt:variant>
      <vt:variant>
        <vt:i4>0</vt:i4>
      </vt:variant>
      <vt:variant>
        <vt:i4>5</vt:i4>
      </vt:variant>
      <vt:variant>
        <vt:lpwstr/>
      </vt:variant>
      <vt:variant>
        <vt:lpwstr>_Toc342041882</vt:lpwstr>
      </vt:variant>
      <vt:variant>
        <vt:i4>1703997</vt:i4>
      </vt:variant>
      <vt:variant>
        <vt:i4>116</vt:i4>
      </vt:variant>
      <vt:variant>
        <vt:i4>0</vt:i4>
      </vt:variant>
      <vt:variant>
        <vt:i4>5</vt:i4>
      </vt:variant>
      <vt:variant>
        <vt:lpwstr/>
      </vt:variant>
      <vt:variant>
        <vt:lpwstr>_Toc342041881</vt:lpwstr>
      </vt:variant>
      <vt:variant>
        <vt:i4>1703997</vt:i4>
      </vt:variant>
      <vt:variant>
        <vt:i4>110</vt:i4>
      </vt:variant>
      <vt:variant>
        <vt:i4>0</vt:i4>
      </vt:variant>
      <vt:variant>
        <vt:i4>5</vt:i4>
      </vt:variant>
      <vt:variant>
        <vt:lpwstr/>
      </vt:variant>
      <vt:variant>
        <vt:lpwstr>_Toc342041880</vt:lpwstr>
      </vt:variant>
      <vt:variant>
        <vt:i4>1376317</vt:i4>
      </vt:variant>
      <vt:variant>
        <vt:i4>104</vt:i4>
      </vt:variant>
      <vt:variant>
        <vt:i4>0</vt:i4>
      </vt:variant>
      <vt:variant>
        <vt:i4>5</vt:i4>
      </vt:variant>
      <vt:variant>
        <vt:lpwstr/>
      </vt:variant>
      <vt:variant>
        <vt:lpwstr>_Toc342041879</vt:lpwstr>
      </vt:variant>
      <vt:variant>
        <vt:i4>1376317</vt:i4>
      </vt:variant>
      <vt:variant>
        <vt:i4>98</vt:i4>
      </vt:variant>
      <vt:variant>
        <vt:i4>0</vt:i4>
      </vt:variant>
      <vt:variant>
        <vt:i4>5</vt:i4>
      </vt:variant>
      <vt:variant>
        <vt:lpwstr/>
      </vt:variant>
      <vt:variant>
        <vt:lpwstr>_Toc342041878</vt:lpwstr>
      </vt:variant>
      <vt:variant>
        <vt:i4>1376317</vt:i4>
      </vt:variant>
      <vt:variant>
        <vt:i4>92</vt:i4>
      </vt:variant>
      <vt:variant>
        <vt:i4>0</vt:i4>
      </vt:variant>
      <vt:variant>
        <vt:i4>5</vt:i4>
      </vt:variant>
      <vt:variant>
        <vt:lpwstr/>
      </vt:variant>
      <vt:variant>
        <vt:lpwstr>_Toc342041877</vt:lpwstr>
      </vt:variant>
      <vt:variant>
        <vt:i4>1376317</vt:i4>
      </vt:variant>
      <vt:variant>
        <vt:i4>86</vt:i4>
      </vt:variant>
      <vt:variant>
        <vt:i4>0</vt:i4>
      </vt:variant>
      <vt:variant>
        <vt:i4>5</vt:i4>
      </vt:variant>
      <vt:variant>
        <vt:lpwstr/>
      </vt:variant>
      <vt:variant>
        <vt:lpwstr>_Toc342041876</vt:lpwstr>
      </vt:variant>
      <vt:variant>
        <vt:i4>1376317</vt:i4>
      </vt:variant>
      <vt:variant>
        <vt:i4>80</vt:i4>
      </vt:variant>
      <vt:variant>
        <vt:i4>0</vt:i4>
      </vt:variant>
      <vt:variant>
        <vt:i4>5</vt:i4>
      </vt:variant>
      <vt:variant>
        <vt:lpwstr/>
      </vt:variant>
      <vt:variant>
        <vt:lpwstr>_Toc342041875</vt:lpwstr>
      </vt:variant>
      <vt:variant>
        <vt:i4>1376317</vt:i4>
      </vt:variant>
      <vt:variant>
        <vt:i4>74</vt:i4>
      </vt:variant>
      <vt:variant>
        <vt:i4>0</vt:i4>
      </vt:variant>
      <vt:variant>
        <vt:i4>5</vt:i4>
      </vt:variant>
      <vt:variant>
        <vt:lpwstr/>
      </vt:variant>
      <vt:variant>
        <vt:lpwstr>_Toc342041874</vt:lpwstr>
      </vt:variant>
      <vt:variant>
        <vt:i4>1376317</vt:i4>
      </vt:variant>
      <vt:variant>
        <vt:i4>68</vt:i4>
      </vt:variant>
      <vt:variant>
        <vt:i4>0</vt:i4>
      </vt:variant>
      <vt:variant>
        <vt:i4>5</vt:i4>
      </vt:variant>
      <vt:variant>
        <vt:lpwstr/>
      </vt:variant>
      <vt:variant>
        <vt:lpwstr>_Toc342041873</vt:lpwstr>
      </vt:variant>
      <vt:variant>
        <vt:i4>1376317</vt:i4>
      </vt:variant>
      <vt:variant>
        <vt:i4>62</vt:i4>
      </vt:variant>
      <vt:variant>
        <vt:i4>0</vt:i4>
      </vt:variant>
      <vt:variant>
        <vt:i4>5</vt:i4>
      </vt:variant>
      <vt:variant>
        <vt:lpwstr/>
      </vt:variant>
      <vt:variant>
        <vt:lpwstr>_Toc342041872</vt:lpwstr>
      </vt:variant>
      <vt:variant>
        <vt:i4>1376317</vt:i4>
      </vt:variant>
      <vt:variant>
        <vt:i4>56</vt:i4>
      </vt:variant>
      <vt:variant>
        <vt:i4>0</vt:i4>
      </vt:variant>
      <vt:variant>
        <vt:i4>5</vt:i4>
      </vt:variant>
      <vt:variant>
        <vt:lpwstr/>
      </vt:variant>
      <vt:variant>
        <vt:lpwstr>_Toc342041871</vt:lpwstr>
      </vt:variant>
      <vt:variant>
        <vt:i4>1376317</vt:i4>
      </vt:variant>
      <vt:variant>
        <vt:i4>50</vt:i4>
      </vt:variant>
      <vt:variant>
        <vt:i4>0</vt:i4>
      </vt:variant>
      <vt:variant>
        <vt:i4>5</vt:i4>
      </vt:variant>
      <vt:variant>
        <vt:lpwstr/>
      </vt:variant>
      <vt:variant>
        <vt:lpwstr>_Toc342041870</vt:lpwstr>
      </vt:variant>
      <vt:variant>
        <vt:i4>1310781</vt:i4>
      </vt:variant>
      <vt:variant>
        <vt:i4>44</vt:i4>
      </vt:variant>
      <vt:variant>
        <vt:i4>0</vt:i4>
      </vt:variant>
      <vt:variant>
        <vt:i4>5</vt:i4>
      </vt:variant>
      <vt:variant>
        <vt:lpwstr/>
      </vt:variant>
      <vt:variant>
        <vt:lpwstr>_Toc342041869</vt:lpwstr>
      </vt:variant>
      <vt:variant>
        <vt:i4>1310781</vt:i4>
      </vt:variant>
      <vt:variant>
        <vt:i4>38</vt:i4>
      </vt:variant>
      <vt:variant>
        <vt:i4>0</vt:i4>
      </vt:variant>
      <vt:variant>
        <vt:i4>5</vt:i4>
      </vt:variant>
      <vt:variant>
        <vt:lpwstr/>
      </vt:variant>
      <vt:variant>
        <vt:lpwstr>_Toc342041868</vt:lpwstr>
      </vt:variant>
      <vt:variant>
        <vt:i4>1310781</vt:i4>
      </vt:variant>
      <vt:variant>
        <vt:i4>32</vt:i4>
      </vt:variant>
      <vt:variant>
        <vt:i4>0</vt:i4>
      </vt:variant>
      <vt:variant>
        <vt:i4>5</vt:i4>
      </vt:variant>
      <vt:variant>
        <vt:lpwstr/>
      </vt:variant>
      <vt:variant>
        <vt:lpwstr>_Toc342041867</vt:lpwstr>
      </vt:variant>
      <vt:variant>
        <vt:i4>1310781</vt:i4>
      </vt:variant>
      <vt:variant>
        <vt:i4>26</vt:i4>
      </vt:variant>
      <vt:variant>
        <vt:i4>0</vt:i4>
      </vt:variant>
      <vt:variant>
        <vt:i4>5</vt:i4>
      </vt:variant>
      <vt:variant>
        <vt:lpwstr/>
      </vt:variant>
      <vt:variant>
        <vt:lpwstr>_Toc342041866</vt:lpwstr>
      </vt:variant>
      <vt:variant>
        <vt:i4>1310781</vt:i4>
      </vt:variant>
      <vt:variant>
        <vt:i4>20</vt:i4>
      </vt:variant>
      <vt:variant>
        <vt:i4>0</vt:i4>
      </vt:variant>
      <vt:variant>
        <vt:i4>5</vt:i4>
      </vt:variant>
      <vt:variant>
        <vt:lpwstr/>
      </vt:variant>
      <vt:variant>
        <vt:lpwstr>_Toc342041865</vt:lpwstr>
      </vt:variant>
      <vt:variant>
        <vt:i4>1310781</vt:i4>
      </vt:variant>
      <vt:variant>
        <vt:i4>14</vt:i4>
      </vt:variant>
      <vt:variant>
        <vt:i4>0</vt:i4>
      </vt:variant>
      <vt:variant>
        <vt:i4>5</vt:i4>
      </vt:variant>
      <vt:variant>
        <vt:lpwstr/>
      </vt:variant>
      <vt:variant>
        <vt:lpwstr>_Toc342041864</vt:lpwstr>
      </vt:variant>
      <vt:variant>
        <vt:i4>1310781</vt:i4>
      </vt:variant>
      <vt:variant>
        <vt:i4>8</vt:i4>
      </vt:variant>
      <vt:variant>
        <vt:i4>0</vt:i4>
      </vt:variant>
      <vt:variant>
        <vt:i4>5</vt:i4>
      </vt:variant>
      <vt:variant>
        <vt:lpwstr/>
      </vt:variant>
      <vt:variant>
        <vt:lpwstr>_Toc342041863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2020-12-21T23:28:00Z</dcterms:created>
  <dcterms:modified xsi:type="dcterms:W3CDTF">2020-12-21T23:33:00Z</dcterms:modified>
</cp:coreProperties>
</file>