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6408" w14:textId="6D47424C" w:rsidR="0082483F" w:rsidRDefault="00234FDB" w:rsidP="00E512D7">
      <w:pPr>
        <w:pStyle w:val="Title"/>
        <w:rPr>
          <w:sz w:val="36"/>
          <w:szCs w:val="36"/>
        </w:rPr>
      </w:pPr>
      <w:r w:rsidRPr="00E512D7">
        <w:rPr>
          <w:sz w:val="36"/>
          <w:szCs w:val="36"/>
        </w:rPr>
        <w:t>Opioid dependence treatment</w:t>
      </w:r>
      <w:r w:rsidR="00EC0895" w:rsidRPr="00E512D7">
        <w:rPr>
          <w:sz w:val="36"/>
          <w:szCs w:val="36"/>
        </w:rPr>
        <w:t xml:space="preserve"> medicines</w:t>
      </w:r>
      <w:r w:rsidR="00BC34ED">
        <w:rPr>
          <w:sz w:val="36"/>
          <w:szCs w:val="36"/>
        </w:rPr>
        <w:t xml:space="preserve"> -</w:t>
      </w:r>
    </w:p>
    <w:p w14:paraId="6F99FA8F" w14:textId="2358A8FD" w:rsidR="005673CA" w:rsidRPr="00E512D7" w:rsidRDefault="00BC34ED" w:rsidP="00E512D7">
      <w:pPr>
        <w:pStyle w:val="Title"/>
        <w:rPr>
          <w:sz w:val="36"/>
          <w:szCs w:val="36"/>
        </w:rPr>
      </w:pPr>
      <w:r>
        <w:rPr>
          <w:sz w:val="36"/>
          <w:szCs w:val="36"/>
        </w:rPr>
        <w:t>Information</w:t>
      </w:r>
      <w:r w:rsidRPr="00E512D7">
        <w:rPr>
          <w:sz w:val="36"/>
          <w:szCs w:val="36"/>
        </w:rPr>
        <w:t xml:space="preserve"> </w:t>
      </w:r>
      <w:r w:rsidR="00EC0895" w:rsidRPr="00E512D7">
        <w:rPr>
          <w:sz w:val="36"/>
          <w:szCs w:val="36"/>
        </w:rPr>
        <w:t xml:space="preserve">for </w:t>
      </w:r>
      <w:r w:rsidR="008A3259" w:rsidRPr="00E512D7">
        <w:rPr>
          <w:sz w:val="36"/>
          <w:szCs w:val="36"/>
        </w:rPr>
        <w:t xml:space="preserve">community and hospital </w:t>
      </w:r>
      <w:r w:rsidR="00234FDB" w:rsidRPr="00E512D7">
        <w:rPr>
          <w:sz w:val="36"/>
          <w:szCs w:val="36"/>
        </w:rPr>
        <w:t>pharmac</w:t>
      </w:r>
      <w:r w:rsidR="001D0E56" w:rsidRPr="00E512D7">
        <w:rPr>
          <w:sz w:val="36"/>
          <w:szCs w:val="36"/>
        </w:rPr>
        <w:t>ists</w:t>
      </w:r>
    </w:p>
    <w:p w14:paraId="7D1BE6FF" w14:textId="485E8220" w:rsidR="00E512D7" w:rsidRDefault="00FA5AF1" w:rsidP="00E512D7">
      <w:pPr>
        <w:pStyle w:val="Heading2"/>
        <w:spacing w:before="120" w:after="120"/>
        <w:rPr>
          <w:sz w:val="28"/>
        </w:rPr>
      </w:pPr>
      <w:r>
        <w:rPr>
          <w:sz w:val="28"/>
        </w:rPr>
        <w:t>Overview</w:t>
      </w:r>
    </w:p>
    <w:p w14:paraId="57781025" w14:textId="1B57A46A" w:rsidR="00E512D7" w:rsidRPr="0088184E" w:rsidRDefault="00902E4B" w:rsidP="00902E4B">
      <w:pPr>
        <w:pStyle w:val="ListBullet"/>
        <w:rPr>
          <w:rFonts w:cs="Arial"/>
          <w:b/>
          <w:bCs/>
          <w:color w:val="358189"/>
          <w:szCs w:val="22"/>
        </w:rPr>
      </w:pPr>
      <w:r>
        <w:rPr>
          <w:rFonts w:cs="Arial"/>
          <w:b/>
          <w:bCs/>
          <w:color w:val="358189"/>
          <w:szCs w:val="22"/>
        </w:rPr>
        <w:t>N</w:t>
      </w:r>
      <w:r w:rsidRPr="00902E4B">
        <w:rPr>
          <w:rFonts w:cs="Arial"/>
          <w:b/>
          <w:bCs/>
          <w:color w:val="358189"/>
          <w:szCs w:val="22"/>
        </w:rPr>
        <w:t xml:space="preserve">ationally consistent payment arrangements for opioid dependence treatment (ODT) </w:t>
      </w:r>
      <w:r w:rsidRPr="0088184E">
        <w:rPr>
          <w:rFonts w:cs="Arial"/>
          <w:b/>
          <w:bCs/>
          <w:color w:val="358189"/>
          <w:szCs w:val="22"/>
        </w:rPr>
        <w:t>services delivered through community pharmacies</w:t>
      </w:r>
    </w:p>
    <w:p w14:paraId="15268F47" w14:textId="5368A450" w:rsidR="00E512D7" w:rsidRDefault="00675E9B" w:rsidP="00ED64B4">
      <w:pPr>
        <w:jc w:val="both"/>
      </w:pPr>
      <w:r>
        <w:t xml:space="preserve">On </w:t>
      </w:r>
      <w:r w:rsidR="00E512D7">
        <w:t xml:space="preserve">1 July 2023, a new </w:t>
      </w:r>
      <w:r w:rsidR="00597A46">
        <w:t>ODT</w:t>
      </w:r>
      <w:r w:rsidR="00E512D7">
        <w:t xml:space="preserve"> </w:t>
      </w:r>
      <w:r w:rsidR="008E7B32">
        <w:t>C</w:t>
      </w:r>
      <w:r w:rsidR="00E512D7">
        <w:t xml:space="preserve">ommunity </w:t>
      </w:r>
      <w:r w:rsidR="008E7B32">
        <w:t>Ph</w:t>
      </w:r>
      <w:r w:rsidR="00E512D7">
        <w:t xml:space="preserve">armacy </w:t>
      </w:r>
      <w:r w:rsidR="008E7B32">
        <w:t>P</w:t>
      </w:r>
      <w:r w:rsidR="00E512D7">
        <w:t>rogram w</w:t>
      </w:r>
      <w:r w:rsidR="00B23964">
        <w:t>as</w:t>
      </w:r>
      <w:r w:rsidR="00E512D7">
        <w:t xml:space="preserve"> established</w:t>
      </w:r>
      <w:r w:rsidR="00902E4B">
        <w:t xml:space="preserve"> and</w:t>
      </w:r>
      <w:r w:rsidR="008E7B32">
        <w:t xml:space="preserve"> is</w:t>
      </w:r>
      <w:r w:rsidR="00902E4B">
        <w:t xml:space="preserve"> administered by the </w:t>
      </w:r>
      <w:hyperlink r:id="rId7" w:history="1">
        <w:r w:rsidR="00902E4B" w:rsidRPr="00902E4B">
          <w:rPr>
            <w:rStyle w:val="Hyperlink"/>
          </w:rPr>
          <w:t>Pharmacy Programs Administrator</w:t>
        </w:r>
      </w:hyperlink>
      <w:r w:rsidR="006E3A19">
        <w:rPr>
          <w:rStyle w:val="Hyperlink"/>
        </w:rPr>
        <w:t xml:space="preserve"> (PPA)</w:t>
      </w:r>
      <w:r w:rsidR="00597A46">
        <w:t>.</w:t>
      </w:r>
      <w:r w:rsidR="00E512D7">
        <w:t xml:space="preserve"> This </w:t>
      </w:r>
      <w:r w:rsidR="008E7B32">
        <w:t>Program is</w:t>
      </w:r>
      <w:r w:rsidR="00E512D7">
        <w:t xml:space="preserve"> supported through f</w:t>
      </w:r>
      <w:r w:rsidR="005673CA" w:rsidRPr="00CC7B8F">
        <w:t xml:space="preserve">unding of $377.3 million over 4 years from 2023-24 </w:t>
      </w:r>
      <w:r w:rsidR="00E512D7">
        <w:t>as</w:t>
      </w:r>
      <w:r w:rsidR="005673CA" w:rsidRPr="00CC7B8F">
        <w:t xml:space="preserve"> announced in the Federal budget</w:t>
      </w:r>
      <w:r w:rsidR="00E512D7">
        <w:t xml:space="preserve">. There </w:t>
      </w:r>
      <w:r>
        <w:t xml:space="preserve">is </w:t>
      </w:r>
      <w:r w:rsidR="00E512D7">
        <w:t xml:space="preserve">also </w:t>
      </w:r>
      <w:r>
        <w:t xml:space="preserve">an allocation of </w:t>
      </w:r>
      <w:r w:rsidR="00E512D7">
        <w:t xml:space="preserve">$98.4 </w:t>
      </w:r>
      <w:r w:rsidR="007B5473">
        <w:t xml:space="preserve">million </w:t>
      </w:r>
      <w:r w:rsidR="006001CA">
        <w:t xml:space="preserve">per year in </w:t>
      </w:r>
      <w:r w:rsidR="00E512D7">
        <w:t xml:space="preserve">ongoing funding. </w:t>
      </w:r>
    </w:p>
    <w:p w14:paraId="04EA3803" w14:textId="70747BD5" w:rsidR="005673CA" w:rsidRPr="00CC7B8F" w:rsidRDefault="005673CA" w:rsidP="00ED64B4">
      <w:pPr>
        <w:jc w:val="both"/>
      </w:pPr>
      <w:r w:rsidRPr="00CC7B8F">
        <w:t xml:space="preserve">The ODT reforms mean </w:t>
      </w:r>
      <w:r w:rsidR="00E512D7">
        <w:t>less</w:t>
      </w:r>
      <w:r w:rsidRPr="00CC7B8F">
        <w:t xml:space="preserve"> out</w:t>
      </w:r>
      <w:r>
        <w:t>-</w:t>
      </w:r>
      <w:r w:rsidRPr="00CC7B8F">
        <w:t>of</w:t>
      </w:r>
      <w:r>
        <w:t>-</w:t>
      </w:r>
      <w:r w:rsidRPr="00CC7B8F">
        <w:t xml:space="preserve">pocket costs for patients accessing treatment within the community pharmacy sector by supporting the delivery of ODT pharmacy services. </w:t>
      </w:r>
    </w:p>
    <w:p w14:paraId="287384B6" w14:textId="31EDA1B8" w:rsidR="005673CA" w:rsidRDefault="005673CA" w:rsidP="00ED64B4">
      <w:pPr>
        <w:jc w:val="both"/>
      </w:pPr>
      <w:r w:rsidRPr="00CC7B8F">
        <w:t xml:space="preserve">Supplying patients with methadone liquid, buprenorphine sublingual tablets and buprenorphine + naloxone sublingual films often </w:t>
      </w:r>
      <w:r w:rsidR="00E375D1" w:rsidRPr="00CC7B8F">
        <w:t>require</w:t>
      </w:r>
      <w:r w:rsidRPr="00CC7B8F">
        <w:t xml:space="preserve"> frequent in-pharmacy and take-away dosing</w:t>
      </w:r>
      <w:r w:rsidR="00E512D7">
        <w:t xml:space="preserve"> activities</w:t>
      </w:r>
      <w:r w:rsidRPr="00CC7B8F">
        <w:t xml:space="preserve">. The </w:t>
      </w:r>
      <w:r w:rsidR="008E7B32">
        <w:t>ODT C</w:t>
      </w:r>
      <w:r w:rsidRPr="00CC7B8F">
        <w:t xml:space="preserve">ommunity </w:t>
      </w:r>
      <w:r w:rsidR="008E7B32">
        <w:t>P</w:t>
      </w:r>
      <w:r w:rsidRPr="00CC7B8F">
        <w:t xml:space="preserve">harmacy </w:t>
      </w:r>
      <w:r w:rsidR="008E7B32">
        <w:t>P</w:t>
      </w:r>
      <w:r w:rsidRPr="00CC7B8F">
        <w:t>rogram introduce</w:t>
      </w:r>
      <w:r w:rsidR="00B23964">
        <w:t>d</w:t>
      </w:r>
      <w:r w:rsidRPr="00CC7B8F">
        <w:t xml:space="preserve"> nationally consistent payment arrangements for ODT staged supply services provided by section 90 approved community pharmacies.</w:t>
      </w:r>
      <w:r w:rsidR="000B5E15">
        <w:t xml:space="preserve"> </w:t>
      </w:r>
      <w:r w:rsidRPr="00CC7B8F">
        <w:t>Subject to their respective state and territory policies and regulations, section 90 approved community pharmacies can also receive a fee for on-site pharmacist administration of injectable buprenorphine.</w:t>
      </w:r>
    </w:p>
    <w:p w14:paraId="7EDED5CC" w14:textId="0461CBB7" w:rsidR="00446517" w:rsidRDefault="00446517" w:rsidP="00ED64B4">
      <w:pPr>
        <w:jc w:val="both"/>
      </w:pPr>
      <w:r w:rsidRPr="00446517">
        <w:t>The ODT Community Pharmacy Program complement</w:t>
      </w:r>
      <w:r w:rsidR="00675E9B">
        <w:t>s</w:t>
      </w:r>
      <w:r w:rsidRPr="00446517">
        <w:t xml:space="preserve">, but is not part of, PBS arrangements for the supply of ODT medicines. </w:t>
      </w:r>
      <w:r w:rsidR="000B5E15">
        <w:t xml:space="preserve">For further information </w:t>
      </w:r>
      <w:r w:rsidR="008E7B32">
        <w:t xml:space="preserve">about the Program, </w:t>
      </w:r>
      <w:r w:rsidR="000B5E15">
        <w:t xml:space="preserve">refer to the Program Rules available from the </w:t>
      </w:r>
      <w:hyperlink r:id="rId8" w:history="1">
        <w:r w:rsidR="00597A46" w:rsidRPr="00597A46">
          <w:rPr>
            <w:rStyle w:val="Hyperlink"/>
          </w:rPr>
          <w:t xml:space="preserve">PPA </w:t>
        </w:r>
        <w:r w:rsidR="000B5E15" w:rsidRPr="00597A46">
          <w:rPr>
            <w:rStyle w:val="Hyperlink"/>
          </w:rPr>
          <w:t>website</w:t>
        </w:r>
      </w:hyperlink>
      <w:r w:rsidR="000B5E15">
        <w:t xml:space="preserve">. </w:t>
      </w:r>
    </w:p>
    <w:p w14:paraId="036BE476" w14:textId="12A732EA" w:rsidR="00902E4B" w:rsidRDefault="00902E4B" w:rsidP="00ED64B4">
      <w:pPr>
        <w:pStyle w:val="ListBullet"/>
        <w:jc w:val="both"/>
        <w:rPr>
          <w:rFonts w:cs="Arial"/>
          <w:b/>
          <w:bCs/>
          <w:color w:val="358189"/>
          <w:szCs w:val="22"/>
        </w:rPr>
      </w:pPr>
      <w:r w:rsidRPr="00902E4B">
        <w:rPr>
          <w:rFonts w:cs="Arial"/>
          <w:b/>
          <w:bCs/>
          <w:color w:val="358189"/>
          <w:szCs w:val="22"/>
        </w:rPr>
        <w:t xml:space="preserve">The way in which ODT medicines are listed on the PBS Schedule </w:t>
      </w:r>
      <w:r w:rsidR="00B23964">
        <w:rPr>
          <w:rFonts w:cs="Arial"/>
          <w:b/>
          <w:bCs/>
          <w:color w:val="358189"/>
          <w:szCs w:val="22"/>
        </w:rPr>
        <w:t>ha</w:t>
      </w:r>
      <w:r w:rsidRPr="00902E4B">
        <w:rPr>
          <w:rFonts w:cs="Arial"/>
          <w:b/>
          <w:bCs/>
          <w:color w:val="358189"/>
          <w:szCs w:val="22"/>
        </w:rPr>
        <w:t>s chang</w:t>
      </w:r>
      <w:r w:rsidR="00B23964">
        <w:rPr>
          <w:rFonts w:cs="Arial"/>
          <w:b/>
          <w:bCs/>
          <w:color w:val="358189"/>
          <w:szCs w:val="22"/>
        </w:rPr>
        <w:t>ed</w:t>
      </w:r>
    </w:p>
    <w:p w14:paraId="006B39AE" w14:textId="13E89D41" w:rsidR="00920CBB" w:rsidRPr="00446517" w:rsidRDefault="00675E9B" w:rsidP="00ED64B4">
      <w:pPr>
        <w:pStyle w:val="ListBullet"/>
        <w:jc w:val="both"/>
        <w:rPr>
          <w:szCs w:val="22"/>
          <w:lang w:eastAsia="en-AU"/>
        </w:rPr>
      </w:pPr>
      <w:r>
        <w:rPr>
          <w:rFonts w:cs="Arial"/>
          <w:color w:val="222222"/>
          <w:szCs w:val="22"/>
          <w:shd w:val="clear" w:color="auto" w:fill="FFFFFF"/>
        </w:rPr>
        <w:t>On</w:t>
      </w:r>
      <w:r w:rsidRPr="00446517">
        <w:rPr>
          <w:rFonts w:cs="Arial"/>
          <w:color w:val="222222"/>
          <w:szCs w:val="22"/>
          <w:shd w:val="clear" w:color="auto" w:fill="FFFFFF"/>
        </w:rPr>
        <w:t xml:space="preserve"> </w:t>
      </w:r>
      <w:r w:rsidR="00FA5AF1" w:rsidRPr="00446517">
        <w:rPr>
          <w:rFonts w:cs="Arial"/>
          <w:color w:val="222222"/>
          <w:szCs w:val="22"/>
          <w:shd w:val="clear" w:color="auto" w:fill="FFFFFF"/>
        </w:rPr>
        <w:t xml:space="preserve">1 July 2023, </w:t>
      </w:r>
      <w:hyperlink r:id="rId9" w:history="1">
        <w:r w:rsidR="00FA5AF1" w:rsidRPr="00446517">
          <w:rPr>
            <w:rStyle w:val="Hyperlink"/>
            <w:rFonts w:cs="Arial"/>
            <w:szCs w:val="22"/>
            <w:shd w:val="clear" w:color="auto" w:fill="FFFFFF"/>
          </w:rPr>
          <w:t>ODT medicines</w:t>
        </w:r>
      </w:hyperlink>
      <w:r w:rsidR="0088184E" w:rsidRPr="006E3A19">
        <w:rPr>
          <w:rStyle w:val="FootnoteReference"/>
          <w:rFonts w:cs="Arial"/>
          <w:szCs w:val="22"/>
        </w:rPr>
        <w:footnoteReference w:id="2"/>
      </w:r>
      <w:r w:rsidR="00FA5AF1" w:rsidRPr="006E3A19">
        <w:rPr>
          <w:rStyle w:val="FootnoteReference"/>
        </w:rPr>
        <w:t xml:space="preserve"> </w:t>
      </w:r>
      <w:r w:rsidR="00FA5AF1" w:rsidRPr="00446517">
        <w:rPr>
          <w:rFonts w:cs="Arial"/>
          <w:color w:val="222222"/>
          <w:szCs w:val="22"/>
          <w:shd w:val="clear" w:color="auto" w:fill="FFFFFF"/>
        </w:rPr>
        <w:t>bec</w:t>
      </w:r>
      <w:r w:rsidR="00B23964">
        <w:rPr>
          <w:rFonts w:cs="Arial"/>
          <w:color w:val="222222"/>
          <w:szCs w:val="22"/>
          <w:shd w:val="clear" w:color="auto" w:fill="FFFFFF"/>
        </w:rPr>
        <w:t>a</w:t>
      </w:r>
      <w:r w:rsidR="00FA5AF1" w:rsidRPr="00446517">
        <w:rPr>
          <w:rFonts w:cs="Arial"/>
          <w:color w:val="222222"/>
          <w:szCs w:val="22"/>
          <w:shd w:val="clear" w:color="auto" w:fill="FFFFFF"/>
        </w:rPr>
        <w:t xml:space="preserve">me part of the </w:t>
      </w:r>
      <w:hyperlink r:id="rId10" w:tooltip="Highly Specialised Drugs (HSD) Program" w:history="1">
        <w:r w:rsidR="00FA5AF1" w:rsidRPr="00446517">
          <w:rPr>
            <w:rStyle w:val="Hyperlink"/>
            <w:rFonts w:cs="Arial"/>
            <w:szCs w:val="22"/>
            <w:shd w:val="clear" w:color="auto" w:fill="FFFFFF"/>
          </w:rPr>
          <w:t>Section 100 </w:t>
        </w:r>
        <w:r w:rsidR="00FA5AF1" w:rsidRPr="00446517">
          <w:rPr>
            <w:rStyle w:val="Hyperlink"/>
            <w:rFonts w:cs="Arial"/>
            <w:szCs w:val="22"/>
          </w:rPr>
          <w:t>Highly Specialised Drugs (HSD) Program</w:t>
        </w:r>
        <w:r w:rsidR="00FA5AF1" w:rsidRPr="00446517">
          <w:rPr>
            <w:rStyle w:val="Hyperlink"/>
            <w:rFonts w:cs="Arial"/>
            <w:szCs w:val="22"/>
            <w:shd w:val="clear" w:color="auto" w:fill="FFFFFF"/>
          </w:rPr>
          <w:t> (Community Access) arrangements</w:t>
        </w:r>
      </w:hyperlink>
      <w:r w:rsidR="00920CBB" w:rsidRPr="00446517">
        <w:rPr>
          <w:rFonts w:cs="Arial"/>
          <w:color w:val="222222"/>
          <w:szCs w:val="22"/>
          <w:shd w:val="clear" w:color="auto" w:fill="FFFFFF"/>
        </w:rPr>
        <w:t xml:space="preserve"> and </w:t>
      </w:r>
      <w:r w:rsidR="00146E97">
        <w:rPr>
          <w:rFonts w:cs="Arial"/>
          <w:color w:val="222222"/>
          <w:szCs w:val="22"/>
          <w:shd w:val="clear" w:color="auto" w:fill="FFFFFF"/>
        </w:rPr>
        <w:t xml:space="preserve">the claiming of prescriptions </w:t>
      </w:r>
      <w:r w:rsidR="00B23964">
        <w:rPr>
          <w:rFonts w:cs="Arial"/>
          <w:color w:val="222222"/>
          <w:szCs w:val="22"/>
          <w:shd w:val="clear" w:color="auto" w:fill="FFFFFF"/>
        </w:rPr>
        <w:t>is</w:t>
      </w:r>
      <w:r w:rsidR="00920CBB" w:rsidRPr="00446517">
        <w:rPr>
          <w:rFonts w:cs="Arial"/>
          <w:color w:val="222222"/>
          <w:szCs w:val="22"/>
          <w:shd w:val="clear" w:color="auto" w:fill="FFFFFF"/>
        </w:rPr>
        <w:t xml:space="preserve"> administered by Services Australia. </w:t>
      </w:r>
      <w:r w:rsidR="00FA5AF1" w:rsidRPr="00446517">
        <w:rPr>
          <w:szCs w:val="22"/>
          <w:lang w:eastAsia="en-AU"/>
        </w:rPr>
        <w:t xml:space="preserve">This means the way ODT medicines are prescribed, ordered, supplied (dispensed) and remunerated </w:t>
      </w:r>
      <w:r w:rsidR="00ED64B4">
        <w:rPr>
          <w:szCs w:val="22"/>
          <w:lang w:eastAsia="en-AU"/>
        </w:rPr>
        <w:t xml:space="preserve">is </w:t>
      </w:r>
      <w:r w:rsidR="00920CBB" w:rsidRPr="00446517">
        <w:rPr>
          <w:szCs w:val="22"/>
          <w:lang w:eastAsia="en-AU"/>
        </w:rPr>
        <w:t xml:space="preserve">just like other PBS medicines </w:t>
      </w:r>
      <w:r w:rsidR="00FA5AF1" w:rsidRPr="00446517">
        <w:rPr>
          <w:szCs w:val="22"/>
          <w:lang w:eastAsia="en-AU"/>
        </w:rPr>
        <w:t>under the Section 100 HSD Program (Community Access).</w:t>
      </w:r>
    </w:p>
    <w:p w14:paraId="4C654B81" w14:textId="77777777" w:rsidR="000B5E15" w:rsidRDefault="00920CBB" w:rsidP="00ED64B4">
      <w:pPr>
        <w:jc w:val="both"/>
        <w:rPr>
          <w:bCs/>
          <w:iCs/>
          <w:szCs w:val="22"/>
        </w:rPr>
      </w:pPr>
      <w:r w:rsidRPr="00446517">
        <w:rPr>
          <w:szCs w:val="22"/>
        </w:rPr>
        <w:t xml:space="preserve">The inclusion of ODT medicines under the </w:t>
      </w:r>
      <w:r w:rsidR="0088184E" w:rsidRPr="00446517">
        <w:rPr>
          <w:szCs w:val="22"/>
        </w:rPr>
        <w:t xml:space="preserve">Section 100 </w:t>
      </w:r>
      <w:r w:rsidRPr="00446517">
        <w:rPr>
          <w:szCs w:val="22"/>
        </w:rPr>
        <w:t xml:space="preserve">HSD </w:t>
      </w:r>
      <w:r w:rsidR="0088184E" w:rsidRPr="00446517">
        <w:rPr>
          <w:szCs w:val="22"/>
        </w:rPr>
        <w:t>Program</w:t>
      </w:r>
      <w:r w:rsidRPr="00446517">
        <w:rPr>
          <w:szCs w:val="22"/>
        </w:rPr>
        <w:t xml:space="preserve"> is intended t</w:t>
      </w:r>
      <w:r w:rsidRPr="00446517">
        <w:rPr>
          <w:bCs/>
          <w:iCs/>
          <w:szCs w:val="22"/>
        </w:rPr>
        <w:t xml:space="preserve">o address the core issues of patient affordability and equitable access to ODT medicines through the PBS, such that access to PBS subsidised ODT medicines aligns with usual PBS arrangements including the PBS co-payment and safety net arrangements. </w:t>
      </w:r>
    </w:p>
    <w:p w14:paraId="51990F93" w14:textId="77777777" w:rsidR="008A59A8" w:rsidRDefault="00920CBB" w:rsidP="00ED64B4">
      <w:pPr>
        <w:jc w:val="both"/>
        <w:rPr>
          <w:lang w:eastAsia="en-AU"/>
        </w:rPr>
      </w:pPr>
      <w:r w:rsidRPr="00446517">
        <w:rPr>
          <w:szCs w:val="22"/>
        </w:rPr>
        <w:t>The </w:t>
      </w:r>
      <w:hyperlink r:id="rId11" w:history="1">
        <w:r w:rsidRPr="00602C62">
          <w:rPr>
            <w:rStyle w:val="Hyperlink"/>
            <w:i/>
            <w:iCs/>
            <w:szCs w:val="22"/>
          </w:rPr>
          <w:t>National Health (Highly specialised drugs program) Special Arrangement 2021</w:t>
        </w:r>
        <w:r w:rsidRPr="00602C62">
          <w:rPr>
            <w:rStyle w:val="Hyperlink"/>
            <w:szCs w:val="22"/>
          </w:rPr>
          <w:t> </w:t>
        </w:r>
      </w:hyperlink>
      <w:r w:rsidRPr="00446517">
        <w:rPr>
          <w:szCs w:val="22"/>
        </w:rPr>
        <w:t>provides the legislative framework for the Section 100 HSD Program.</w:t>
      </w:r>
    </w:p>
    <w:p w14:paraId="69EE3796" w14:textId="77777777" w:rsidR="008A59A8" w:rsidRDefault="008A59A8" w:rsidP="008A59A8">
      <w:pPr>
        <w:rPr>
          <w:lang w:eastAsia="en-AU"/>
        </w:rPr>
      </w:pPr>
    </w:p>
    <w:p w14:paraId="264CFBA7" w14:textId="77F76BC4" w:rsidR="00902E4B" w:rsidRPr="008A59A8" w:rsidRDefault="0088184E" w:rsidP="008A59A8">
      <w:pPr>
        <w:rPr>
          <w:bCs/>
          <w:iCs/>
          <w:szCs w:val="22"/>
        </w:rPr>
      </w:pPr>
      <w:r w:rsidRPr="0088184E">
        <w:rPr>
          <w:rFonts w:cs="Arial"/>
          <w:b/>
          <w:bCs/>
          <w:color w:val="358189"/>
          <w:szCs w:val="22"/>
        </w:rPr>
        <w:lastRenderedPageBreak/>
        <w:t>State and Territory Opioid Dependence</w:t>
      </w:r>
      <w:r>
        <w:rPr>
          <w:rFonts w:cs="Arial"/>
          <w:b/>
          <w:bCs/>
          <w:color w:val="358189"/>
          <w:szCs w:val="22"/>
        </w:rPr>
        <w:t xml:space="preserve"> </w:t>
      </w:r>
      <w:r w:rsidRPr="0088184E">
        <w:rPr>
          <w:rFonts w:cs="Arial"/>
          <w:b/>
          <w:bCs/>
          <w:color w:val="358189"/>
          <w:szCs w:val="22"/>
        </w:rPr>
        <w:t>Treatment Programs</w:t>
      </w:r>
    </w:p>
    <w:p w14:paraId="35B6DC3C" w14:textId="77777777" w:rsidR="00904C46" w:rsidRDefault="00FA5AF1" w:rsidP="00ED64B4">
      <w:pPr>
        <w:jc w:val="both"/>
        <w:rPr>
          <w:bCs/>
          <w:iCs/>
          <w:szCs w:val="22"/>
        </w:rPr>
      </w:pPr>
      <w:r w:rsidRPr="00146E97">
        <w:rPr>
          <w:bCs/>
          <w:iCs/>
          <w:szCs w:val="22"/>
        </w:rPr>
        <w:t xml:space="preserve">State and territory governments operate individual ODT programs in their respective jurisdictions. These programs include patient eligibility criteria, take-away dosing policies, as well as the approval or authorisation of participating prescribers (medical practitioners and nurse practitioners) and dispensing (dosing) points. </w:t>
      </w:r>
    </w:p>
    <w:p w14:paraId="279746E7" w14:textId="5145BFE2" w:rsidR="00FA5AF1" w:rsidRPr="00146E97" w:rsidRDefault="00FA5AF1" w:rsidP="00ED64B4">
      <w:pPr>
        <w:jc w:val="both"/>
        <w:rPr>
          <w:bCs/>
          <w:iCs/>
          <w:szCs w:val="22"/>
        </w:rPr>
      </w:pPr>
      <w:r w:rsidRPr="00146E97">
        <w:rPr>
          <w:bCs/>
          <w:iCs/>
          <w:szCs w:val="22"/>
        </w:rPr>
        <w:t xml:space="preserve">The operation of state and territory ODT programs continue to be governed by the respective policies, guidelines and regulations within each of those jurisdictions. The provision of </w:t>
      </w:r>
      <w:r w:rsidR="00446517" w:rsidRPr="00146E97">
        <w:rPr>
          <w:bCs/>
          <w:iCs/>
          <w:szCs w:val="22"/>
        </w:rPr>
        <w:t xml:space="preserve">PBS subsidised access to </w:t>
      </w:r>
      <w:r w:rsidRPr="00146E97">
        <w:rPr>
          <w:bCs/>
          <w:iCs/>
          <w:szCs w:val="22"/>
        </w:rPr>
        <w:t>ODT medicines operate</w:t>
      </w:r>
      <w:r w:rsidR="00ED64B4">
        <w:rPr>
          <w:bCs/>
          <w:iCs/>
          <w:szCs w:val="22"/>
        </w:rPr>
        <w:t>s</w:t>
      </w:r>
      <w:r w:rsidRPr="00146E97">
        <w:rPr>
          <w:bCs/>
          <w:iCs/>
          <w:szCs w:val="22"/>
        </w:rPr>
        <w:t xml:space="preserve"> in parallel with jurisdictional ODT programs.</w:t>
      </w:r>
    </w:p>
    <w:p w14:paraId="52D8010B" w14:textId="77777777" w:rsidR="009032EF" w:rsidRDefault="00FA5AF1" w:rsidP="00ED64B4">
      <w:pPr>
        <w:jc w:val="both"/>
        <w:rPr>
          <w:bCs/>
          <w:iCs/>
        </w:rPr>
      </w:pPr>
      <w:r w:rsidRPr="0088184E">
        <w:rPr>
          <w:bCs/>
          <w:iCs/>
        </w:rPr>
        <w:t xml:space="preserve">ODT medicines are listed as controlled drugs in Schedule 8 of the </w:t>
      </w:r>
      <w:hyperlink r:id="rId12" w:history="1">
        <w:r w:rsidRPr="0088184E">
          <w:rPr>
            <w:rStyle w:val="Hyperlink"/>
            <w:bCs/>
            <w:iCs/>
          </w:rPr>
          <w:t>Poisons Standard</w:t>
        </w:r>
      </w:hyperlink>
      <w:r w:rsidRPr="0088184E">
        <w:rPr>
          <w:bCs/>
          <w:iCs/>
        </w:rPr>
        <w:t xml:space="preserve">, and therefore have specific requirements for handling, storage, prescribing and dispensing which are given effect through the relevant state and territory legislation. </w:t>
      </w:r>
    </w:p>
    <w:p w14:paraId="3C834ACD" w14:textId="14A6448E" w:rsidR="00446517" w:rsidRPr="00D97E2A" w:rsidRDefault="006001CA" w:rsidP="00ED64B4">
      <w:pPr>
        <w:jc w:val="both"/>
        <w:rPr>
          <w:lang w:eastAsia="en-AU"/>
        </w:rPr>
      </w:pPr>
      <w:r>
        <w:rPr>
          <w:bCs/>
          <w:iCs/>
        </w:rPr>
        <w:t>Suppliers</w:t>
      </w:r>
      <w:r w:rsidR="00FA5AF1" w:rsidRPr="0088184E">
        <w:rPr>
          <w:bCs/>
          <w:iCs/>
        </w:rPr>
        <w:t xml:space="preserve"> such as pharmacies must </w:t>
      </w:r>
      <w:r w:rsidR="00602C62">
        <w:rPr>
          <w:bCs/>
          <w:iCs/>
        </w:rPr>
        <w:t xml:space="preserve">also </w:t>
      </w:r>
      <w:r w:rsidR="00FA5AF1" w:rsidRPr="0088184E">
        <w:rPr>
          <w:bCs/>
          <w:iCs/>
        </w:rPr>
        <w:t xml:space="preserve">comply with the provisions of state and territory regulations for controlled drugs when dispensing medicines for the treatment of opioid </w:t>
      </w:r>
      <w:r w:rsidR="00602C62">
        <w:rPr>
          <w:bCs/>
          <w:iCs/>
        </w:rPr>
        <w:t xml:space="preserve">dependence under the PBS. </w:t>
      </w:r>
    </w:p>
    <w:p w14:paraId="13D98074" w14:textId="77777777" w:rsidR="00446517" w:rsidRPr="00446517" w:rsidRDefault="00446517" w:rsidP="00446517">
      <w:pPr>
        <w:pStyle w:val="Heading2"/>
        <w:spacing w:before="120" w:after="120"/>
        <w:rPr>
          <w:sz w:val="28"/>
        </w:rPr>
      </w:pPr>
      <w:r w:rsidRPr="00446517">
        <w:rPr>
          <w:sz w:val="28"/>
        </w:rPr>
        <w:t>Section 100 HSD Program community access arrangements</w:t>
      </w:r>
    </w:p>
    <w:p w14:paraId="4E28C124" w14:textId="7C347661" w:rsidR="000E732B" w:rsidRPr="00146E97" w:rsidRDefault="000E732B" w:rsidP="000E732B">
      <w:pPr>
        <w:pStyle w:val="ListBullet"/>
        <w:rPr>
          <w:rFonts w:cs="Arial"/>
          <w:b/>
          <w:bCs/>
          <w:color w:val="358189"/>
          <w:szCs w:val="22"/>
        </w:rPr>
      </w:pPr>
      <w:r w:rsidRPr="00146E97">
        <w:rPr>
          <w:rFonts w:cs="Arial"/>
          <w:b/>
          <w:bCs/>
          <w:color w:val="358189"/>
          <w:szCs w:val="22"/>
        </w:rPr>
        <w:t xml:space="preserve">Patient </w:t>
      </w:r>
      <w:r w:rsidR="00B45B2E">
        <w:rPr>
          <w:rFonts w:cs="Arial"/>
          <w:b/>
          <w:bCs/>
          <w:color w:val="358189"/>
          <w:szCs w:val="22"/>
        </w:rPr>
        <w:t>charges</w:t>
      </w:r>
    </w:p>
    <w:p w14:paraId="23FE05BA" w14:textId="7BDF1398" w:rsidR="00B66536" w:rsidRPr="0007012D" w:rsidRDefault="008565ED" w:rsidP="00ED64B4">
      <w:pPr>
        <w:jc w:val="both"/>
      </w:pPr>
      <w:r>
        <w:rPr>
          <w:bCs/>
          <w:iCs/>
        </w:rPr>
        <w:t xml:space="preserve">As of </w:t>
      </w:r>
      <w:r w:rsidR="000E732B">
        <w:rPr>
          <w:bCs/>
          <w:iCs/>
        </w:rPr>
        <w:t xml:space="preserve">1 July 2023, </w:t>
      </w:r>
      <w:r w:rsidR="00B66536" w:rsidRPr="0007012D">
        <w:t xml:space="preserve">patients must be charged consistently with general PBS arrangements. </w:t>
      </w:r>
    </w:p>
    <w:p w14:paraId="0C866E21" w14:textId="3F6F0CAB" w:rsidR="000E732B" w:rsidRDefault="00B66536" w:rsidP="00ED64B4">
      <w:pPr>
        <w:jc w:val="both"/>
        <w:rPr>
          <w:bCs/>
          <w:iCs/>
        </w:rPr>
      </w:pPr>
      <w:r>
        <w:rPr>
          <w:bCs/>
          <w:iCs/>
        </w:rPr>
        <w:t>U</w:t>
      </w:r>
      <w:r w:rsidR="000E732B" w:rsidRPr="00D97E2A">
        <w:rPr>
          <w:bCs/>
          <w:iCs/>
        </w:rPr>
        <w:t xml:space="preserve">nder the Section 100 HSD Program, PBS-eligible patients pay the </w:t>
      </w:r>
      <w:hyperlink r:id="rId13" w:anchor="What_are_the_current_patient_fees_and_charges" w:history="1">
        <w:r w:rsidR="00DD39F6" w:rsidRPr="00011ADB">
          <w:rPr>
            <w:rStyle w:val="Hyperlink"/>
            <w:rFonts w:cs="Arial"/>
            <w:szCs w:val="22"/>
            <w:shd w:val="clear" w:color="auto" w:fill="FFFFFF"/>
          </w:rPr>
          <w:t>PBS co-payment</w:t>
        </w:r>
      </w:hyperlink>
      <w:r w:rsidR="000E732B" w:rsidRPr="00D97E2A">
        <w:rPr>
          <w:bCs/>
          <w:iCs/>
        </w:rPr>
        <w:t xml:space="preserve"> </w:t>
      </w:r>
      <w:r w:rsidR="000E732B">
        <w:rPr>
          <w:bCs/>
          <w:iCs/>
        </w:rPr>
        <w:t>for the supply of</w:t>
      </w:r>
      <w:r w:rsidR="000E732B" w:rsidRPr="00D97E2A">
        <w:rPr>
          <w:bCs/>
          <w:iCs/>
        </w:rPr>
        <w:t xml:space="preserve"> their ODT medicines</w:t>
      </w:r>
      <w:r w:rsidR="000E732B" w:rsidRPr="00D97E2A">
        <w:t xml:space="preserve"> </w:t>
      </w:r>
      <w:r w:rsidR="000E732B" w:rsidRPr="00D97E2A">
        <w:rPr>
          <w:bCs/>
          <w:iCs/>
        </w:rPr>
        <w:t>(</w:t>
      </w:r>
      <w:r w:rsidR="000E732B">
        <w:rPr>
          <w:bCs/>
          <w:iCs/>
        </w:rPr>
        <w:t xml:space="preserve">usually </w:t>
      </w:r>
      <w:r w:rsidR="000E732B" w:rsidRPr="00D97E2A">
        <w:rPr>
          <w:bCs/>
          <w:iCs/>
        </w:rPr>
        <w:t xml:space="preserve">for up to 28 days’ supply per pharmaceutical benefit prescribed) and </w:t>
      </w:r>
      <w:r>
        <w:rPr>
          <w:bCs/>
          <w:iCs/>
        </w:rPr>
        <w:t>the amount paid will</w:t>
      </w:r>
      <w:r w:rsidR="000E732B">
        <w:rPr>
          <w:bCs/>
          <w:iCs/>
        </w:rPr>
        <w:t xml:space="preserve"> contribute </w:t>
      </w:r>
      <w:r w:rsidR="000E732B" w:rsidRPr="00D97E2A">
        <w:rPr>
          <w:bCs/>
          <w:iCs/>
        </w:rPr>
        <w:t xml:space="preserve">towards </w:t>
      </w:r>
      <w:r>
        <w:rPr>
          <w:bCs/>
          <w:iCs/>
        </w:rPr>
        <w:t>the patient’s</w:t>
      </w:r>
      <w:r w:rsidR="000E732B" w:rsidRPr="00D97E2A">
        <w:rPr>
          <w:bCs/>
          <w:iCs/>
        </w:rPr>
        <w:t xml:space="preserve"> PBS Safety Net threshold.</w:t>
      </w:r>
    </w:p>
    <w:p w14:paraId="27122436" w14:textId="37FFADE6" w:rsidR="00B45B2E" w:rsidRPr="00B45B2E" w:rsidRDefault="00B45B2E" w:rsidP="00ED64B4">
      <w:pPr>
        <w:jc w:val="both"/>
        <w:rPr>
          <w:bCs/>
          <w:iCs/>
          <w:szCs w:val="22"/>
        </w:rPr>
      </w:pPr>
      <w:r w:rsidRPr="00B45B2E">
        <w:rPr>
          <w:bCs/>
          <w:iCs/>
          <w:szCs w:val="22"/>
        </w:rPr>
        <w:t xml:space="preserve">Buprenorphine-containing ODT medicines </w:t>
      </w:r>
      <w:r w:rsidR="00675E9B">
        <w:rPr>
          <w:bCs/>
          <w:iCs/>
          <w:szCs w:val="22"/>
        </w:rPr>
        <w:t>is</w:t>
      </w:r>
      <w:r w:rsidRPr="00B45B2E">
        <w:rPr>
          <w:bCs/>
          <w:iCs/>
          <w:szCs w:val="22"/>
        </w:rPr>
        <w:t xml:space="preserve"> prescribed and dispensed on a per-pack basis, like the prescribing of other PBS medicines</w:t>
      </w:r>
      <w:r w:rsidR="00904C46">
        <w:rPr>
          <w:bCs/>
          <w:iCs/>
          <w:szCs w:val="22"/>
        </w:rPr>
        <w:t xml:space="preserve"> (also refer to Supply of ODT medicines</w:t>
      </w:r>
      <w:r w:rsidR="00DD39F6">
        <w:rPr>
          <w:bCs/>
          <w:iCs/>
          <w:szCs w:val="22"/>
        </w:rPr>
        <w:t xml:space="preserve"> below</w:t>
      </w:r>
      <w:r w:rsidR="00904C46">
        <w:rPr>
          <w:bCs/>
          <w:iCs/>
          <w:szCs w:val="22"/>
        </w:rPr>
        <w:t>)</w:t>
      </w:r>
      <w:r w:rsidRPr="00B45B2E">
        <w:rPr>
          <w:bCs/>
          <w:iCs/>
          <w:szCs w:val="22"/>
        </w:rPr>
        <w:t>. This means if different strengths are prescribed and supplied, each strength will attract one PBS co-payment</w:t>
      </w:r>
      <w:r w:rsidR="00DD39F6">
        <w:rPr>
          <w:bCs/>
          <w:iCs/>
          <w:szCs w:val="22"/>
        </w:rPr>
        <w:t xml:space="preserve"> and relevant PBS remuneration</w:t>
      </w:r>
      <w:r w:rsidRPr="00B45B2E">
        <w:rPr>
          <w:bCs/>
          <w:iCs/>
          <w:szCs w:val="22"/>
        </w:rPr>
        <w:t>.</w:t>
      </w:r>
    </w:p>
    <w:p w14:paraId="77B7F339" w14:textId="3E76F015" w:rsidR="00B66536" w:rsidRPr="00B66536" w:rsidRDefault="00B66536" w:rsidP="00ED64B4">
      <w:pPr>
        <w:jc w:val="both"/>
        <w:rPr>
          <w:bCs/>
          <w:iCs/>
        </w:rPr>
      </w:pPr>
      <w:r>
        <w:rPr>
          <w:bCs/>
          <w:iCs/>
        </w:rPr>
        <w:t>PBS approved suppliers cannot charge patients a</w:t>
      </w:r>
      <w:r w:rsidRPr="00D97E2A">
        <w:rPr>
          <w:bCs/>
          <w:iCs/>
        </w:rPr>
        <w:t xml:space="preserve">dditional private dispensing or dosing fees for </w:t>
      </w:r>
      <w:r>
        <w:rPr>
          <w:bCs/>
          <w:iCs/>
        </w:rPr>
        <w:t xml:space="preserve">the supply of their </w:t>
      </w:r>
      <w:r w:rsidRPr="00D97E2A">
        <w:rPr>
          <w:bCs/>
          <w:iCs/>
        </w:rPr>
        <w:t>ODT medicine under the PBS.</w:t>
      </w:r>
      <w:r w:rsidR="0076265B">
        <w:rPr>
          <w:bCs/>
          <w:iCs/>
        </w:rPr>
        <w:t xml:space="preserve"> </w:t>
      </w:r>
      <w:r w:rsidRPr="00B66536">
        <w:rPr>
          <w:bCs/>
          <w:iCs/>
        </w:rPr>
        <w:t xml:space="preserve">Pharmacies should treat </w:t>
      </w:r>
      <w:hyperlink r:id="rId14" w:anchor="co-payment" w:history="1">
        <w:r w:rsidRPr="00B66536">
          <w:rPr>
            <w:bCs/>
            <w:iCs/>
          </w:rPr>
          <w:t>under co-payment</w:t>
        </w:r>
      </w:hyperlink>
      <w:r w:rsidRPr="00B66536">
        <w:rPr>
          <w:bCs/>
          <w:iCs/>
        </w:rPr>
        <w:t xml:space="preserve"> prescriptions for ODT medicines in the same way as all </w:t>
      </w:r>
      <w:hyperlink r:id="rId15" w:anchor="co-payment" w:history="1">
        <w:r w:rsidR="00DD39F6" w:rsidRPr="00DD39F6">
          <w:rPr>
            <w:rStyle w:val="Hyperlink"/>
            <w:bCs/>
            <w:iCs/>
          </w:rPr>
          <w:t>under co-payment</w:t>
        </w:r>
      </w:hyperlink>
      <w:r w:rsidRPr="00B66536">
        <w:rPr>
          <w:bCs/>
          <w:iCs/>
        </w:rPr>
        <w:t xml:space="preserve"> medicines supplied under the PBS. </w:t>
      </w:r>
    </w:p>
    <w:p w14:paraId="48C5BC03" w14:textId="6A83BD67" w:rsidR="00B66536" w:rsidRDefault="00B45B2E" w:rsidP="00ED64B4">
      <w:pPr>
        <w:jc w:val="both"/>
        <w:rPr>
          <w:bCs/>
          <w:iCs/>
        </w:rPr>
      </w:pPr>
      <w:r>
        <w:rPr>
          <w:bCs/>
          <w:iCs/>
        </w:rPr>
        <w:t xml:space="preserve">Refer </w:t>
      </w:r>
      <w:hyperlink r:id="rId16" w:history="1">
        <w:r w:rsidRPr="00B45B2E">
          <w:rPr>
            <w:rStyle w:val="Hyperlink"/>
            <w:bCs/>
            <w:iCs/>
          </w:rPr>
          <w:t>Fees, Patient Contributions and Safety Net Thresholds</w:t>
        </w:r>
      </w:hyperlink>
      <w:r>
        <w:rPr>
          <w:bCs/>
          <w:iCs/>
        </w:rPr>
        <w:t xml:space="preserve"> on the PBS website. </w:t>
      </w:r>
    </w:p>
    <w:p w14:paraId="589C4BF5" w14:textId="77777777" w:rsidR="009032EF" w:rsidRPr="00930EC0" w:rsidRDefault="009032EF" w:rsidP="00ED64B4">
      <w:pPr>
        <w:pStyle w:val="ListBullet"/>
        <w:jc w:val="both"/>
        <w:rPr>
          <w:rFonts w:cs="Arial"/>
          <w:b/>
          <w:bCs/>
          <w:color w:val="358189"/>
          <w:szCs w:val="22"/>
        </w:rPr>
      </w:pPr>
      <w:r w:rsidRPr="00930EC0">
        <w:rPr>
          <w:rFonts w:cs="Arial"/>
          <w:b/>
          <w:bCs/>
          <w:color w:val="358189"/>
          <w:szCs w:val="22"/>
        </w:rPr>
        <w:t xml:space="preserve">Supply of ODT medicines </w:t>
      </w:r>
    </w:p>
    <w:p w14:paraId="7F1AEB90" w14:textId="77777777" w:rsidR="009032EF" w:rsidRDefault="009032EF" w:rsidP="00ED64B4">
      <w:pPr>
        <w:pStyle w:val="ListBullet"/>
        <w:jc w:val="both"/>
        <w:rPr>
          <w:szCs w:val="22"/>
        </w:rPr>
      </w:pPr>
      <w:r>
        <w:t xml:space="preserve">ODT medicines listed under the Section 100 HSD Program </w:t>
      </w:r>
      <w:r w:rsidRPr="00CC7B8F">
        <w:rPr>
          <w:szCs w:val="22"/>
        </w:rPr>
        <w:t xml:space="preserve">can be dispensed from </w:t>
      </w:r>
      <w:r>
        <w:rPr>
          <w:szCs w:val="22"/>
        </w:rPr>
        <w:t>a:</w:t>
      </w:r>
    </w:p>
    <w:p w14:paraId="46CBF34A" w14:textId="77777777" w:rsidR="009032EF" w:rsidRDefault="009032EF" w:rsidP="00ED64B4">
      <w:pPr>
        <w:pStyle w:val="ListBullet"/>
        <w:numPr>
          <w:ilvl w:val="0"/>
          <w:numId w:val="10"/>
        </w:numPr>
        <w:jc w:val="both"/>
        <w:rPr>
          <w:szCs w:val="22"/>
        </w:rPr>
      </w:pPr>
      <w:r w:rsidRPr="00CC7B8F">
        <w:rPr>
          <w:szCs w:val="22"/>
        </w:rPr>
        <w:t>section 90 approved community pharmacy</w:t>
      </w:r>
    </w:p>
    <w:p w14:paraId="19414104" w14:textId="77777777" w:rsidR="009032EF" w:rsidRDefault="009032EF" w:rsidP="00ED64B4">
      <w:pPr>
        <w:pStyle w:val="ListBullet"/>
        <w:numPr>
          <w:ilvl w:val="0"/>
          <w:numId w:val="10"/>
        </w:numPr>
        <w:jc w:val="both"/>
        <w:rPr>
          <w:szCs w:val="22"/>
        </w:rPr>
      </w:pPr>
      <w:r>
        <w:rPr>
          <w:szCs w:val="22"/>
        </w:rPr>
        <w:t>section 94 public hospital pharmacy</w:t>
      </w:r>
    </w:p>
    <w:p w14:paraId="7767F5D7" w14:textId="77777777" w:rsidR="009032EF" w:rsidRDefault="009032EF" w:rsidP="00ED64B4">
      <w:pPr>
        <w:pStyle w:val="ListBullet"/>
        <w:numPr>
          <w:ilvl w:val="0"/>
          <w:numId w:val="10"/>
        </w:numPr>
        <w:jc w:val="both"/>
        <w:rPr>
          <w:szCs w:val="22"/>
        </w:rPr>
      </w:pPr>
      <w:r>
        <w:rPr>
          <w:szCs w:val="22"/>
        </w:rPr>
        <w:t xml:space="preserve">section 94 private hospital </w:t>
      </w:r>
    </w:p>
    <w:p w14:paraId="6A4F2C91" w14:textId="77777777" w:rsidR="009032EF" w:rsidRDefault="009032EF" w:rsidP="00ED64B4">
      <w:pPr>
        <w:pStyle w:val="ListBullet"/>
        <w:numPr>
          <w:ilvl w:val="0"/>
          <w:numId w:val="10"/>
        </w:numPr>
        <w:jc w:val="both"/>
        <w:rPr>
          <w:szCs w:val="22"/>
        </w:rPr>
      </w:pPr>
      <w:r>
        <w:rPr>
          <w:szCs w:val="22"/>
        </w:rPr>
        <w:t>section 92 dispensing doctor (e.g., in remote areas without an approved pharmacy)</w:t>
      </w:r>
    </w:p>
    <w:p w14:paraId="7A6DB36E" w14:textId="66BF17CF" w:rsidR="009032EF" w:rsidRDefault="009032EF" w:rsidP="00ED64B4">
      <w:pPr>
        <w:jc w:val="both"/>
        <w:rPr>
          <w:rFonts w:cs="Arial"/>
          <w:color w:val="000000"/>
          <w:szCs w:val="22"/>
          <w:lang w:eastAsia="en-AU"/>
        </w:rPr>
      </w:pPr>
      <w:r>
        <w:rPr>
          <w:rFonts w:cs="Arial"/>
          <w:color w:val="000000"/>
          <w:szCs w:val="22"/>
          <w:lang w:eastAsia="en-AU"/>
        </w:rPr>
        <w:t xml:space="preserve">Patients must have a Medicare card to </w:t>
      </w:r>
      <w:r w:rsidR="006001CA">
        <w:rPr>
          <w:rFonts w:cs="Arial"/>
          <w:color w:val="000000"/>
          <w:szCs w:val="22"/>
          <w:lang w:eastAsia="en-AU"/>
        </w:rPr>
        <w:t xml:space="preserve">access </w:t>
      </w:r>
      <w:r>
        <w:rPr>
          <w:rFonts w:cs="Arial"/>
          <w:color w:val="000000"/>
          <w:szCs w:val="22"/>
          <w:lang w:eastAsia="en-AU"/>
        </w:rPr>
        <w:t xml:space="preserve">PBS subsidised ODT medicines. With patient consent, </w:t>
      </w:r>
      <w:r w:rsidRPr="00F22CDD">
        <w:rPr>
          <w:rFonts w:cs="Arial"/>
          <w:color w:val="000000"/>
          <w:szCs w:val="22"/>
          <w:lang w:eastAsia="en-AU"/>
        </w:rPr>
        <w:t xml:space="preserve">pharmacists may (at their discretion) keep a record of a patient’s Medicare number so the patient does not have to show the actual card every time a prescription is lodged. </w:t>
      </w:r>
    </w:p>
    <w:p w14:paraId="5D896D5C" w14:textId="77777777" w:rsidR="009032EF" w:rsidRDefault="009032EF" w:rsidP="00675E9B">
      <w:pPr>
        <w:jc w:val="both"/>
        <w:rPr>
          <w:rFonts w:cs="Arial"/>
          <w:color w:val="000000"/>
          <w:szCs w:val="22"/>
          <w:lang w:eastAsia="en-AU"/>
        </w:rPr>
      </w:pPr>
      <w:r>
        <w:rPr>
          <w:rFonts w:cs="Arial"/>
          <w:color w:val="000000"/>
          <w:szCs w:val="22"/>
          <w:lang w:eastAsia="en-AU"/>
        </w:rPr>
        <w:t xml:space="preserve">Eligible patients can apply for their own Medicare card online by enrolling in Medicare on the Services Australia </w:t>
      </w:r>
      <w:hyperlink r:id="rId17" w:tgtFrame="_blank" w:history="1">
        <w:r>
          <w:rPr>
            <w:rStyle w:val="Hyperlink"/>
            <w:rFonts w:cs="Arial"/>
            <w:color w:val="0000FF"/>
            <w:szCs w:val="22"/>
            <w:lang w:eastAsia="en-AU"/>
          </w:rPr>
          <w:t>website.</w:t>
        </w:r>
      </w:hyperlink>
      <w:r>
        <w:rPr>
          <w:rFonts w:cs="Arial"/>
          <w:color w:val="000000"/>
          <w:szCs w:val="22"/>
          <w:lang w:eastAsia="en-AU"/>
        </w:rPr>
        <w:t xml:space="preserve"> Temporary residents who hold a current visa may be able to </w:t>
      </w:r>
      <w:r>
        <w:rPr>
          <w:rFonts w:cs="Arial"/>
          <w:color w:val="000000"/>
          <w:szCs w:val="22"/>
          <w:lang w:eastAsia="en-AU"/>
        </w:rPr>
        <w:lastRenderedPageBreak/>
        <w:t xml:space="preserve">access Medicare if they meet certain criteria. This is outlined on the Services Australia </w:t>
      </w:r>
      <w:hyperlink r:id="rId18" w:tgtFrame="_blank" w:history="1">
        <w:r>
          <w:rPr>
            <w:rStyle w:val="Hyperlink"/>
            <w:rFonts w:cs="Arial"/>
            <w:color w:val="0000FF"/>
            <w:szCs w:val="22"/>
            <w:lang w:eastAsia="en-AU"/>
          </w:rPr>
          <w:t>website</w:t>
        </w:r>
      </w:hyperlink>
      <w:r>
        <w:rPr>
          <w:rFonts w:cs="Arial"/>
          <w:color w:val="000000"/>
          <w:szCs w:val="22"/>
          <w:lang w:eastAsia="en-AU"/>
        </w:rPr>
        <w:t>. </w:t>
      </w:r>
    </w:p>
    <w:p w14:paraId="7C35398F" w14:textId="2C0D5E86" w:rsidR="009032EF" w:rsidRPr="009032EF" w:rsidRDefault="009032EF" w:rsidP="00675E9B">
      <w:pPr>
        <w:jc w:val="both"/>
      </w:pPr>
      <w:r w:rsidRPr="00D97E2A">
        <w:t xml:space="preserve">Similar to other PBS medicines, patients will be able to receive </w:t>
      </w:r>
      <w:hyperlink r:id="rId19" w:history="1">
        <w:r w:rsidRPr="007A4B36">
          <w:rPr>
            <w:rStyle w:val="Hyperlink"/>
          </w:rPr>
          <w:t>early supply</w:t>
        </w:r>
      </w:hyperlink>
      <w:r w:rsidRPr="00D97E2A">
        <w:t xml:space="preserve"> of ODT medicines in some circumstances. If the minimum interval of 20 days has passed</w:t>
      </w:r>
      <w:r>
        <w:t xml:space="preserve"> since the previous supply</w:t>
      </w:r>
      <w:r w:rsidRPr="00D97E2A">
        <w:t xml:space="preserve">, the PBS co-payment amount will contribute to the </w:t>
      </w:r>
      <w:r>
        <w:t>patient’s S</w:t>
      </w:r>
      <w:r w:rsidRPr="00D97E2A">
        <w:t>afety</w:t>
      </w:r>
      <w:r>
        <w:t xml:space="preserve"> N</w:t>
      </w:r>
      <w:r w:rsidRPr="00D97E2A">
        <w:t>et threshold.</w:t>
      </w:r>
    </w:p>
    <w:p w14:paraId="2B325EA5" w14:textId="1566F43A" w:rsidR="004D796C" w:rsidRPr="005428B4" w:rsidRDefault="00271727" w:rsidP="00675E9B">
      <w:pPr>
        <w:pStyle w:val="ListBullet"/>
        <w:jc w:val="both"/>
        <w:rPr>
          <w:rFonts w:cs="Arial"/>
          <w:b/>
          <w:bCs/>
          <w:color w:val="358189"/>
          <w:szCs w:val="22"/>
        </w:rPr>
      </w:pPr>
      <w:r w:rsidRPr="005428B4">
        <w:rPr>
          <w:rFonts w:cs="Arial"/>
          <w:b/>
          <w:bCs/>
          <w:color w:val="358189"/>
          <w:szCs w:val="22"/>
        </w:rPr>
        <w:t xml:space="preserve">Ordering </w:t>
      </w:r>
      <w:r w:rsidR="005428B4">
        <w:rPr>
          <w:rFonts w:cs="Arial"/>
          <w:b/>
          <w:bCs/>
          <w:color w:val="358189"/>
          <w:szCs w:val="22"/>
        </w:rPr>
        <w:t xml:space="preserve">ODT medicines </w:t>
      </w:r>
    </w:p>
    <w:p w14:paraId="7753963B" w14:textId="2C59454A" w:rsidR="000E732B" w:rsidRDefault="008565ED" w:rsidP="00675E9B">
      <w:pPr>
        <w:jc w:val="both"/>
      </w:pPr>
      <w:r>
        <w:t xml:space="preserve">As of </w:t>
      </w:r>
      <w:r w:rsidR="00D0456F">
        <w:t xml:space="preserve">1 July 2023, </w:t>
      </w:r>
      <w:r w:rsidR="000E732B" w:rsidRPr="00D97E2A">
        <w:t xml:space="preserve">PBS </w:t>
      </w:r>
      <w:r w:rsidR="000E732B">
        <w:t>a</w:t>
      </w:r>
      <w:r w:rsidR="000E732B" w:rsidRPr="00D97E2A">
        <w:t>pproved</w:t>
      </w:r>
      <w:r w:rsidR="000E732B">
        <w:t xml:space="preserve"> s</w:t>
      </w:r>
      <w:r w:rsidR="000E732B" w:rsidRPr="00D97E2A">
        <w:t>uppliers</w:t>
      </w:r>
      <w:r w:rsidR="00675E9B">
        <w:t>,</w:t>
      </w:r>
      <w:r w:rsidR="000E732B" w:rsidRPr="00D97E2A">
        <w:t xml:space="preserve"> such as</w:t>
      </w:r>
      <w:r w:rsidR="000E732B">
        <w:t xml:space="preserve"> approved</w:t>
      </w:r>
      <w:r w:rsidR="000E732B" w:rsidRPr="00D97E2A">
        <w:t xml:space="preserve"> pharmacists</w:t>
      </w:r>
      <w:r w:rsidR="00675E9B">
        <w:t>,</w:t>
      </w:r>
      <w:r w:rsidR="000E732B" w:rsidRPr="00D97E2A">
        <w:t xml:space="preserve"> purchase stock of ODT medicines from their usual pharmaceutical distributor/wholesaler and submit claims for </w:t>
      </w:r>
      <w:r w:rsidR="000E732B">
        <w:t xml:space="preserve">Commonwealth </w:t>
      </w:r>
      <w:r w:rsidR="000E732B" w:rsidRPr="00D97E2A">
        <w:t>payment to Services Australia for supply of ODT medicines</w:t>
      </w:r>
      <w:r w:rsidR="000E732B">
        <w:t xml:space="preserve">. </w:t>
      </w:r>
    </w:p>
    <w:p w14:paraId="43F3F5CB" w14:textId="5A015A3C" w:rsidR="000C730C" w:rsidRDefault="000C730C" w:rsidP="00675E9B">
      <w:pPr>
        <w:pStyle w:val="ListBullet"/>
        <w:jc w:val="both"/>
        <w:rPr>
          <w:rFonts w:cs="Arial"/>
          <w:b/>
          <w:bCs/>
          <w:color w:val="358189"/>
          <w:szCs w:val="22"/>
        </w:rPr>
      </w:pPr>
      <w:r>
        <w:rPr>
          <w:rFonts w:cs="Arial"/>
          <w:b/>
          <w:bCs/>
          <w:color w:val="358189"/>
          <w:szCs w:val="22"/>
        </w:rPr>
        <w:t>Storage and handling of ODT medicines</w:t>
      </w:r>
    </w:p>
    <w:p w14:paraId="6C347090" w14:textId="77777777" w:rsidR="009032EF" w:rsidRDefault="000C730C" w:rsidP="00675E9B">
      <w:pPr>
        <w:jc w:val="both"/>
      </w:pPr>
      <w:r w:rsidRPr="0007012D">
        <w:t xml:space="preserve">Medicines for the treatment of opioid dependence </w:t>
      </w:r>
      <w:r w:rsidR="003C11AF">
        <w:t>are</w:t>
      </w:r>
      <w:r w:rsidR="003C11AF" w:rsidRPr="0007012D">
        <w:t xml:space="preserve"> </w:t>
      </w:r>
      <w:r w:rsidRPr="0007012D">
        <w:t>frequently given to patients without traditional packaging</w:t>
      </w:r>
      <w:r w:rsidR="003C11AF">
        <w:t xml:space="preserve"> of a full PBS quantity</w:t>
      </w:r>
      <w:r w:rsidRPr="0007012D">
        <w:t>, for example a daily dose of liquid methadone</w:t>
      </w:r>
      <w:r>
        <w:t xml:space="preserve"> or buprenorphine-containing tablets or films</w:t>
      </w:r>
      <w:r w:rsidRPr="0007012D">
        <w:t xml:space="preserve">. </w:t>
      </w:r>
    </w:p>
    <w:p w14:paraId="15630291" w14:textId="77C3EAA4" w:rsidR="000C730C" w:rsidRDefault="003C11AF" w:rsidP="00675E9B">
      <w:pPr>
        <w:jc w:val="both"/>
      </w:pPr>
      <w:r>
        <w:t>Under the PBS, i</w:t>
      </w:r>
      <w:r w:rsidR="000C730C" w:rsidRPr="0007012D">
        <w:t xml:space="preserve">t </w:t>
      </w:r>
      <w:r>
        <w:t>may be</w:t>
      </w:r>
      <w:r w:rsidRPr="0007012D">
        <w:t xml:space="preserve"> </w:t>
      </w:r>
      <w:r w:rsidR="000C730C" w:rsidRPr="0007012D">
        <w:t xml:space="preserve">impractical for approved pharmacists to label </w:t>
      </w:r>
      <w:r w:rsidR="00DD39F6">
        <w:t xml:space="preserve">and store </w:t>
      </w:r>
      <w:r w:rsidR="000C730C">
        <w:t xml:space="preserve">the </w:t>
      </w:r>
      <w:r w:rsidR="00DD39F6">
        <w:t xml:space="preserve">full </w:t>
      </w:r>
      <w:r w:rsidR="000C730C">
        <w:t>dispensed PBS quantity</w:t>
      </w:r>
      <w:r w:rsidR="000C730C" w:rsidRPr="0007012D">
        <w:t xml:space="preserve"> </w:t>
      </w:r>
      <w:r w:rsidR="00895BEF">
        <w:t xml:space="preserve">for each patient </w:t>
      </w:r>
      <w:r w:rsidR="000C730C" w:rsidRPr="0007012D">
        <w:t>in these circumstances</w:t>
      </w:r>
      <w:r w:rsidR="00895BEF">
        <w:t xml:space="preserve">. </w:t>
      </w:r>
      <w:r>
        <w:rPr>
          <w:bCs/>
          <w:iCs/>
          <w:szCs w:val="22"/>
        </w:rPr>
        <w:t>Therefore,</w:t>
      </w:r>
      <w:r w:rsidR="00895BEF" w:rsidRPr="00B45B2E">
        <w:rPr>
          <w:bCs/>
          <w:iCs/>
          <w:szCs w:val="22"/>
        </w:rPr>
        <w:t xml:space="preserve"> pharmacists and other approved suppliers </w:t>
      </w:r>
      <w:r w:rsidR="00675E9B">
        <w:rPr>
          <w:bCs/>
          <w:iCs/>
          <w:szCs w:val="22"/>
        </w:rPr>
        <w:t>can</w:t>
      </w:r>
      <w:r w:rsidR="00895BEF" w:rsidRPr="00B45B2E">
        <w:rPr>
          <w:bCs/>
          <w:iCs/>
          <w:szCs w:val="22"/>
        </w:rPr>
        <w:t xml:space="preserve"> continue to share a bottle of methadone</w:t>
      </w:r>
      <w:r w:rsidR="00685842">
        <w:rPr>
          <w:bCs/>
          <w:iCs/>
          <w:szCs w:val="22"/>
        </w:rPr>
        <w:t xml:space="preserve"> </w:t>
      </w:r>
      <w:r w:rsidR="00895BEF" w:rsidRPr="00B45B2E">
        <w:rPr>
          <w:bCs/>
          <w:iCs/>
          <w:szCs w:val="22"/>
        </w:rPr>
        <w:t>between multiple patients</w:t>
      </w:r>
      <w:r w:rsidR="000C730C">
        <w:t xml:space="preserve"> in the process of administering a particular patient their full </w:t>
      </w:r>
      <w:r w:rsidR="00895BEF">
        <w:t xml:space="preserve">PBS </w:t>
      </w:r>
      <w:r w:rsidR="000C730C">
        <w:t>supply over the month</w:t>
      </w:r>
      <w:r w:rsidR="000C730C" w:rsidRPr="0007012D">
        <w:t xml:space="preserve">. </w:t>
      </w:r>
    </w:p>
    <w:p w14:paraId="12664334" w14:textId="320D8FB6" w:rsidR="000C730C" w:rsidRPr="000C730C" w:rsidRDefault="000C730C" w:rsidP="00675E9B">
      <w:pPr>
        <w:jc w:val="both"/>
        <w:rPr>
          <w:bCs/>
          <w:iCs/>
          <w:szCs w:val="22"/>
        </w:rPr>
      </w:pPr>
      <w:r>
        <w:rPr>
          <w:bCs/>
          <w:iCs/>
          <w:szCs w:val="22"/>
        </w:rPr>
        <w:t>For example, m</w:t>
      </w:r>
      <w:r w:rsidRPr="00B45B2E">
        <w:rPr>
          <w:bCs/>
          <w:iCs/>
          <w:szCs w:val="22"/>
        </w:rPr>
        <w:t xml:space="preserve">ethadone liquid </w:t>
      </w:r>
      <w:r w:rsidR="00675E9B">
        <w:rPr>
          <w:bCs/>
          <w:iCs/>
          <w:szCs w:val="22"/>
        </w:rPr>
        <w:t>is</w:t>
      </w:r>
      <w:r w:rsidRPr="00B45B2E">
        <w:rPr>
          <w:bCs/>
          <w:iCs/>
          <w:szCs w:val="22"/>
        </w:rPr>
        <w:t xml:space="preserve"> prescribed and dispensed on a maximum millilitre (mL) basis per prescription (that is, a total quantity in mL for up to 28 days of the daily dose amount). </w:t>
      </w:r>
      <w:r w:rsidR="00895BEF">
        <w:rPr>
          <w:bCs/>
          <w:iCs/>
          <w:szCs w:val="22"/>
        </w:rPr>
        <w:t>However</w:t>
      </w:r>
      <w:r w:rsidR="007A4B36">
        <w:rPr>
          <w:bCs/>
          <w:iCs/>
          <w:szCs w:val="22"/>
        </w:rPr>
        <w:t>,</w:t>
      </w:r>
      <w:r w:rsidR="00895BEF">
        <w:rPr>
          <w:bCs/>
          <w:iCs/>
          <w:szCs w:val="22"/>
        </w:rPr>
        <w:t xml:space="preserve"> a patient’s daily dose may be prepared from a shared 1 L bottle</w:t>
      </w:r>
      <w:r w:rsidRPr="00B45B2E">
        <w:rPr>
          <w:bCs/>
          <w:iCs/>
          <w:szCs w:val="22"/>
        </w:rPr>
        <w:t>.</w:t>
      </w:r>
      <w:r>
        <w:rPr>
          <w:bCs/>
          <w:iCs/>
          <w:szCs w:val="22"/>
        </w:rPr>
        <w:t xml:space="preserve"> </w:t>
      </w:r>
    </w:p>
    <w:p w14:paraId="24E5186E" w14:textId="4D4F15F4" w:rsidR="000C730C" w:rsidRDefault="000C730C" w:rsidP="00675E9B">
      <w:pPr>
        <w:jc w:val="both"/>
        <w:rPr>
          <w:bCs/>
          <w:iCs/>
          <w:szCs w:val="22"/>
        </w:rPr>
      </w:pPr>
      <w:r w:rsidRPr="000C730C">
        <w:rPr>
          <w:bCs/>
          <w:iCs/>
          <w:szCs w:val="22"/>
        </w:rPr>
        <w:t xml:space="preserve">Pharmacists </w:t>
      </w:r>
      <w:r w:rsidR="00F43824">
        <w:rPr>
          <w:bCs/>
          <w:iCs/>
          <w:szCs w:val="22"/>
        </w:rPr>
        <w:t>must</w:t>
      </w:r>
      <w:r w:rsidR="00F43824" w:rsidRPr="000C730C">
        <w:rPr>
          <w:bCs/>
          <w:iCs/>
          <w:szCs w:val="22"/>
        </w:rPr>
        <w:t xml:space="preserve"> </w:t>
      </w:r>
      <w:r w:rsidRPr="000C730C">
        <w:rPr>
          <w:bCs/>
          <w:iCs/>
          <w:szCs w:val="22"/>
        </w:rPr>
        <w:t>continue to manage the storage,</w:t>
      </w:r>
      <w:r>
        <w:rPr>
          <w:bCs/>
          <w:iCs/>
          <w:szCs w:val="22"/>
        </w:rPr>
        <w:t xml:space="preserve"> </w:t>
      </w:r>
      <w:r w:rsidRPr="000C730C">
        <w:rPr>
          <w:bCs/>
          <w:iCs/>
          <w:szCs w:val="22"/>
        </w:rPr>
        <w:t xml:space="preserve">handling, and recordkeeping of ODT medicines in line with state and territory regulations for </w:t>
      </w:r>
      <w:r>
        <w:rPr>
          <w:bCs/>
          <w:iCs/>
          <w:szCs w:val="22"/>
        </w:rPr>
        <w:t>c</w:t>
      </w:r>
      <w:r w:rsidRPr="000C730C">
        <w:rPr>
          <w:bCs/>
          <w:iCs/>
          <w:szCs w:val="22"/>
        </w:rPr>
        <w:t xml:space="preserve">ontrolled </w:t>
      </w:r>
      <w:r>
        <w:rPr>
          <w:bCs/>
          <w:iCs/>
          <w:szCs w:val="22"/>
        </w:rPr>
        <w:t>d</w:t>
      </w:r>
      <w:r w:rsidRPr="000C730C">
        <w:rPr>
          <w:bCs/>
          <w:iCs/>
          <w:szCs w:val="22"/>
        </w:rPr>
        <w:t xml:space="preserve">rugs. </w:t>
      </w:r>
    </w:p>
    <w:p w14:paraId="5750E9D7" w14:textId="0129350E" w:rsidR="005D6172" w:rsidRPr="00E033B3" w:rsidRDefault="0076265B" w:rsidP="00675E9B">
      <w:pPr>
        <w:pStyle w:val="ListBullet"/>
        <w:jc w:val="both"/>
        <w:rPr>
          <w:rFonts w:cs="Arial"/>
          <w:b/>
          <w:bCs/>
          <w:color w:val="358189"/>
          <w:szCs w:val="22"/>
        </w:rPr>
      </w:pPr>
      <w:r w:rsidRPr="00E033B3">
        <w:rPr>
          <w:rFonts w:cs="Arial"/>
          <w:b/>
          <w:bCs/>
          <w:color w:val="358189"/>
          <w:szCs w:val="22"/>
        </w:rPr>
        <w:t xml:space="preserve">Payment arrangements </w:t>
      </w:r>
    </w:p>
    <w:p w14:paraId="24621E12" w14:textId="17963606" w:rsidR="0076265B" w:rsidRPr="0076265B" w:rsidRDefault="0076265B" w:rsidP="00675E9B">
      <w:pPr>
        <w:jc w:val="both"/>
        <w:rPr>
          <w:b/>
          <w:bCs/>
        </w:rPr>
      </w:pPr>
      <w:r w:rsidRPr="0076265B">
        <w:rPr>
          <w:b/>
          <w:bCs/>
        </w:rPr>
        <w:t>Section 90 approved community pharmacies should refer to the Fac</w:t>
      </w:r>
      <w:r w:rsidR="00EC60BB">
        <w:rPr>
          <w:b/>
          <w:bCs/>
        </w:rPr>
        <w:t>ts</w:t>
      </w:r>
      <w:r w:rsidRPr="0076265B">
        <w:rPr>
          <w:b/>
          <w:bCs/>
        </w:rPr>
        <w:t xml:space="preserve">heet: Opioid dependence treatment medicines – claiming and payment arrangements for community pharmacies </w:t>
      </w:r>
      <w:r w:rsidR="00E033B3">
        <w:rPr>
          <w:b/>
          <w:bCs/>
        </w:rPr>
        <w:t xml:space="preserve">for </w:t>
      </w:r>
      <w:r w:rsidR="007A4B36">
        <w:rPr>
          <w:b/>
          <w:bCs/>
        </w:rPr>
        <w:t xml:space="preserve">information about </w:t>
      </w:r>
      <w:r w:rsidR="00E033B3">
        <w:rPr>
          <w:b/>
          <w:bCs/>
        </w:rPr>
        <w:t>fees under the PBS and the ODT Community Pharmacy Program</w:t>
      </w:r>
      <w:r w:rsidRPr="0076265B">
        <w:rPr>
          <w:b/>
          <w:bCs/>
        </w:rPr>
        <w:t xml:space="preserve">. </w:t>
      </w:r>
    </w:p>
    <w:p w14:paraId="50DB1182" w14:textId="3E4EC0D2" w:rsidR="0062429D" w:rsidRDefault="000A4CF0" w:rsidP="00675E9B">
      <w:pPr>
        <w:jc w:val="both"/>
        <w:rPr>
          <w:rFonts w:cs="Arial"/>
          <w:szCs w:val="22"/>
        </w:rPr>
      </w:pPr>
      <w:r>
        <w:rPr>
          <w:rFonts w:cs="Arial"/>
          <w:szCs w:val="22"/>
        </w:rPr>
        <w:t>As part of the PBS claim, pharmacists are remunerated for the ex-manufacturer price of the drug dispensed. In addition, t</w:t>
      </w:r>
      <w:r w:rsidR="00F26D69" w:rsidRPr="00F26D69">
        <w:rPr>
          <w:rFonts w:cs="Arial"/>
          <w:szCs w:val="22"/>
        </w:rPr>
        <w:t xml:space="preserve">he remuneration rates for HSDs (including ODT medicines) supplied through PBS approved community pharmacies and approved private hospital pharmacies is the </w:t>
      </w:r>
      <w:r w:rsidR="00F26D69" w:rsidRPr="00F26D69">
        <w:rPr>
          <w:rFonts w:cs="Arial"/>
          <w:color w:val="222222"/>
          <w:szCs w:val="22"/>
        </w:rPr>
        <w:t>normal PBS ready-prepared dispensing fee</w:t>
      </w:r>
      <w:r w:rsidR="00F26D69" w:rsidRPr="00F26D69">
        <w:rPr>
          <w:rFonts w:cs="Arial"/>
          <w:szCs w:val="22"/>
        </w:rPr>
        <w:t xml:space="preserve">, the dangerous drug fee </w:t>
      </w:r>
      <w:r w:rsidR="00410CCD">
        <w:rPr>
          <w:rFonts w:cs="Arial"/>
          <w:szCs w:val="22"/>
        </w:rPr>
        <w:t xml:space="preserve">(indexed annually, see </w:t>
      </w:r>
      <w:hyperlink r:id="rId20" w:history="1">
        <w:r w:rsidR="00410CCD" w:rsidRPr="001D245C">
          <w:rPr>
            <w:rStyle w:val="Hyperlink"/>
            <w:rFonts w:cs="Arial"/>
            <w:szCs w:val="22"/>
          </w:rPr>
          <w:t>Pharmaceutical Benefits Scheme (PBS) | Fees &amp; Patient Contributions</w:t>
        </w:r>
      </w:hyperlink>
      <w:r w:rsidR="00410CCD">
        <w:rPr>
          <w:rFonts w:cs="Arial"/>
          <w:szCs w:val="22"/>
        </w:rPr>
        <w:t>)</w:t>
      </w:r>
      <w:r w:rsidR="0062429D">
        <w:rPr>
          <w:rFonts w:cs="Arial"/>
          <w:szCs w:val="22"/>
        </w:rPr>
        <w:t>,</w:t>
      </w:r>
      <w:r w:rsidR="00F26D69" w:rsidRPr="00F26D69">
        <w:rPr>
          <w:rFonts w:cs="Arial"/>
          <w:szCs w:val="22"/>
        </w:rPr>
        <w:t xml:space="preserve"> </w:t>
      </w:r>
      <w:r w:rsidR="00F26D69" w:rsidRPr="00F26D69">
        <w:rPr>
          <w:rFonts w:cs="Arial"/>
          <w:color w:val="222222"/>
          <w:szCs w:val="22"/>
        </w:rPr>
        <w:t xml:space="preserve">plus a </w:t>
      </w:r>
      <w:r>
        <w:rPr>
          <w:rFonts w:cs="Arial"/>
          <w:color w:val="222222"/>
          <w:szCs w:val="22"/>
        </w:rPr>
        <w:t xml:space="preserve">Section 100 </w:t>
      </w:r>
      <w:r w:rsidR="00F26D69" w:rsidRPr="00F26D69">
        <w:rPr>
          <w:rFonts w:cs="Arial"/>
          <w:color w:val="222222"/>
          <w:szCs w:val="22"/>
        </w:rPr>
        <w:t>mark-up ascertained as follows:</w:t>
      </w:r>
    </w:p>
    <w:p w14:paraId="1A8C3AF4" w14:textId="6EE3B005" w:rsidR="0062429D" w:rsidRPr="0062429D" w:rsidRDefault="00F26D69" w:rsidP="00675E9B">
      <w:pPr>
        <w:pStyle w:val="ListParagraph"/>
        <w:numPr>
          <w:ilvl w:val="0"/>
          <w:numId w:val="9"/>
        </w:numPr>
        <w:jc w:val="both"/>
        <w:rPr>
          <w:rFonts w:cs="Arial"/>
          <w:szCs w:val="22"/>
        </w:rPr>
      </w:pPr>
      <w:r w:rsidRPr="0062429D">
        <w:rPr>
          <w:rFonts w:cs="Arial"/>
          <w:color w:val="222222"/>
          <w:szCs w:val="22"/>
          <w:lang w:eastAsia="en-AU"/>
        </w:rPr>
        <w:t>10% for drugs with a</w:t>
      </w:r>
      <w:r w:rsidR="000A4CF0">
        <w:rPr>
          <w:rFonts w:cs="Arial"/>
          <w:color w:val="222222"/>
          <w:szCs w:val="22"/>
          <w:lang w:eastAsia="en-AU"/>
        </w:rPr>
        <w:t>n</w:t>
      </w:r>
      <w:r w:rsidRPr="0062429D">
        <w:rPr>
          <w:rFonts w:cs="Arial"/>
          <w:color w:val="222222"/>
          <w:szCs w:val="22"/>
          <w:lang w:eastAsia="en-AU"/>
        </w:rPr>
        <w:t xml:space="preserve"> ex-manufacturer</w:t>
      </w:r>
      <w:r w:rsidR="000A4CF0">
        <w:rPr>
          <w:rFonts w:cs="Arial"/>
          <w:color w:val="222222"/>
          <w:szCs w:val="22"/>
          <w:lang w:eastAsia="en-AU"/>
        </w:rPr>
        <w:t xml:space="preserve"> </w:t>
      </w:r>
      <w:r w:rsidR="000A4CF0" w:rsidRPr="0062429D">
        <w:rPr>
          <w:rFonts w:cs="Arial"/>
          <w:color w:val="222222"/>
          <w:szCs w:val="22"/>
          <w:lang w:eastAsia="en-AU"/>
        </w:rPr>
        <w:t>price</w:t>
      </w:r>
      <w:r w:rsidRPr="0062429D">
        <w:rPr>
          <w:rFonts w:cs="Arial"/>
          <w:color w:val="222222"/>
          <w:szCs w:val="22"/>
          <w:lang w:eastAsia="en-AU"/>
        </w:rPr>
        <w:t xml:space="preserve"> of less than $40</w:t>
      </w:r>
    </w:p>
    <w:p w14:paraId="5336A434" w14:textId="6EF772F7" w:rsidR="0062429D" w:rsidRPr="0062429D" w:rsidRDefault="00F26D69" w:rsidP="00675E9B">
      <w:pPr>
        <w:pStyle w:val="ListParagraph"/>
        <w:numPr>
          <w:ilvl w:val="0"/>
          <w:numId w:val="9"/>
        </w:numPr>
        <w:jc w:val="both"/>
        <w:rPr>
          <w:rFonts w:cs="Arial"/>
          <w:szCs w:val="22"/>
        </w:rPr>
      </w:pPr>
      <w:r w:rsidRPr="0062429D">
        <w:rPr>
          <w:rFonts w:cs="Arial"/>
          <w:color w:val="222222"/>
          <w:szCs w:val="22"/>
          <w:lang w:eastAsia="en-AU"/>
        </w:rPr>
        <w:t>$4 for drugs with a</w:t>
      </w:r>
      <w:r w:rsidR="000A4CF0">
        <w:rPr>
          <w:rFonts w:cs="Arial"/>
          <w:color w:val="222222"/>
          <w:szCs w:val="22"/>
          <w:lang w:eastAsia="en-AU"/>
        </w:rPr>
        <w:t>n</w:t>
      </w:r>
      <w:r w:rsidRPr="0062429D">
        <w:rPr>
          <w:rFonts w:cs="Arial"/>
          <w:color w:val="222222"/>
          <w:szCs w:val="22"/>
          <w:lang w:eastAsia="en-AU"/>
        </w:rPr>
        <w:t xml:space="preserve"> ex-manufacturer </w:t>
      </w:r>
      <w:r w:rsidR="000A4CF0" w:rsidRPr="0062429D">
        <w:rPr>
          <w:rFonts w:cs="Arial"/>
          <w:color w:val="222222"/>
          <w:szCs w:val="22"/>
          <w:lang w:eastAsia="en-AU"/>
        </w:rPr>
        <w:t xml:space="preserve">price </w:t>
      </w:r>
      <w:r w:rsidRPr="0062429D">
        <w:rPr>
          <w:rFonts w:cs="Arial"/>
          <w:color w:val="222222"/>
          <w:szCs w:val="22"/>
          <w:lang w:eastAsia="en-AU"/>
        </w:rPr>
        <w:t>of between $40 and $100</w:t>
      </w:r>
    </w:p>
    <w:p w14:paraId="1699C012" w14:textId="3E8F75B9" w:rsidR="0062429D" w:rsidRPr="0062429D" w:rsidRDefault="00F26D69" w:rsidP="00675E9B">
      <w:pPr>
        <w:pStyle w:val="ListParagraph"/>
        <w:numPr>
          <w:ilvl w:val="0"/>
          <w:numId w:val="9"/>
        </w:numPr>
        <w:jc w:val="both"/>
        <w:rPr>
          <w:rFonts w:cs="Arial"/>
          <w:szCs w:val="22"/>
        </w:rPr>
      </w:pPr>
      <w:r w:rsidRPr="0062429D">
        <w:rPr>
          <w:rFonts w:cs="Arial"/>
          <w:color w:val="222222"/>
          <w:szCs w:val="22"/>
          <w:lang w:eastAsia="en-AU"/>
        </w:rPr>
        <w:t>4% for drugs with a</w:t>
      </w:r>
      <w:r w:rsidR="000A4CF0">
        <w:rPr>
          <w:rFonts w:cs="Arial"/>
          <w:color w:val="222222"/>
          <w:szCs w:val="22"/>
          <w:lang w:eastAsia="en-AU"/>
        </w:rPr>
        <w:t>n</w:t>
      </w:r>
      <w:r w:rsidRPr="0062429D">
        <w:rPr>
          <w:rFonts w:cs="Arial"/>
          <w:color w:val="222222"/>
          <w:szCs w:val="22"/>
          <w:lang w:eastAsia="en-AU"/>
        </w:rPr>
        <w:t xml:space="preserve"> ex-manufacturer</w:t>
      </w:r>
      <w:r w:rsidR="000A4CF0" w:rsidRPr="000A4CF0">
        <w:rPr>
          <w:rFonts w:cs="Arial"/>
          <w:color w:val="222222"/>
          <w:szCs w:val="22"/>
          <w:lang w:eastAsia="en-AU"/>
        </w:rPr>
        <w:t xml:space="preserve"> </w:t>
      </w:r>
      <w:r w:rsidR="000A4CF0" w:rsidRPr="0062429D">
        <w:rPr>
          <w:rFonts w:cs="Arial"/>
          <w:color w:val="222222"/>
          <w:szCs w:val="22"/>
          <w:lang w:eastAsia="en-AU"/>
        </w:rPr>
        <w:t>price</w:t>
      </w:r>
      <w:r w:rsidRPr="0062429D">
        <w:rPr>
          <w:rFonts w:cs="Arial"/>
          <w:color w:val="222222"/>
          <w:szCs w:val="22"/>
          <w:lang w:eastAsia="en-AU"/>
        </w:rPr>
        <w:t xml:space="preserve"> of between $100.01 and $1000</w:t>
      </w:r>
    </w:p>
    <w:p w14:paraId="388B50F6" w14:textId="4FB93804" w:rsidR="00F26D69" w:rsidRPr="0062429D" w:rsidRDefault="00F26D69" w:rsidP="00675E9B">
      <w:pPr>
        <w:pStyle w:val="ListParagraph"/>
        <w:numPr>
          <w:ilvl w:val="0"/>
          <w:numId w:val="9"/>
        </w:numPr>
        <w:jc w:val="both"/>
        <w:rPr>
          <w:rFonts w:cs="Arial"/>
          <w:szCs w:val="22"/>
        </w:rPr>
      </w:pPr>
      <w:r w:rsidRPr="0062429D">
        <w:rPr>
          <w:rFonts w:cs="Arial"/>
          <w:color w:val="222222"/>
          <w:szCs w:val="22"/>
          <w:lang w:eastAsia="en-AU"/>
        </w:rPr>
        <w:t>$40 for drugs with a</w:t>
      </w:r>
      <w:r w:rsidR="000A4CF0">
        <w:rPr>
          <w:rFonts w:cs="Arial"/>
          <w:color w:val="222222"/>
          <w:szCs w:val="22"/>
          <w:lang w:eastAsia="en-AU"/>
        </w:rPr>
        <w:t>n</w:t>
      </w:r>
      <w:r w:rsidRPr="0062429D">
        <w:rPr>
          <w:rFonts w:cs="Arial"/>
          <w:color w:val="222222"/>
          <w:szCs w:val="22"/>
          <w:lang w:eastAsia="en-AU"/>
        </w:rPr>
        <w:t xml:space="preserve"> ex-manufacturer</w:t>
      </w:r>
      <w:r w:rsidR="000A4CF0" w:rsidRPr="000A4CF0">
        <w:rPr>
          <w:rFonts w:cs="Arial"/>
          <w:color w:val="222222"/>
          <w:szCs w:val="22"/>
          <w:lang w:eastAsia="en-AU"/>
        </w:rPr>
        <w:t xml:space="preserve"> </w:t>
      </w:r>
      <w:r w:rsidR="000A4CF0" w:rsidRPr="0062429D">
        <w:rPr>
          <w:rFonts w:cs="Arial"/>
          <w:color w:val="222222"/>
          <w:szCs w:val="22"/>
          <w:lang w:eastAsia="en-AU"/>
        </w:rPr>
        <w:t>price</w:t>
      </w:r>
      <w:r w:rsidRPr="0062429D">
        <w:rPr>
          <w:rFonts w:cs="Arial"/>
          <w:color w:val="222222"/>
          <w:szCs w:val="22"/>
          <w:lang w:eastAsia="en-AU"/>
        </w:rPr>
        <w:t xml:space="preserve"> of greater than $1000</w:t>
      </w:r>
    </w:p>
    <w:p w14:paraId="26742693" w14:textId="0ADB86AC" w:rsidR="00F26D69" w:rsidRDefault="0062429D" w:rsidP="00675E9B">
      <w:pPr>
        <w:jc w:val="both"/>
        <w:rPr>
          <w:rFonts w:cs="Arial"/>
          <w:color w:val="222222"/>
          <w:szCs w:val="22"/>
        </w:rPr>
      </w:pPr>
      <w:r>
        <w:rPr>
          <w:rFonts w:cs="Arial"/>
          <w:color w:val="222222"/>
          <w:szCs w:val="22"/>
        </w:rPr>
        <w:t>Under the Section 100 HSD Program</w:t>
      </w:r>
      <w:r w:rsidR="00675E9B">
        <w:rPr>
          <w:rFonts w:cs="Arial"/>
          <w:color w:val="222222"/>
          <w:szCs w:val="22"/>
        </w:rPr>
        <w:t>,</w:t>
      </w:r>
      <w:r>
        <w:rPr>
          <w:rFonts w:cs="Arial"/>
          <w:color w:val="222222"/>
          <w:szCs w:val="22"/>
        </w:rPr>
        <w:t xml:space="preserve"> PBS approved public hospitals </w:t>
      </w:r>
      <w:r w:rsidR="00E033B3">
        <w:rPr>
          <w:rFonts w:cs="Arial"/>
          <w:color w:val="222222"/>
          <w:szCs w:val="22"/>
        </w:rPr>
        <w:t xml:space="preserve">receive reimbursement for the </w:t>
      </w:r>
      <w:r w:rsidR="00F26D69" w:rsidRPr="00F26D69">
        <w:rPr>
          <w:rFonts w:cs="Arial"/>
          <w:color w:val="222222"/>
          <w:szCs w:val="22"/>
        </w:rPr>
        <w:t>approved ex</w:t>
      </w:r>
      <w:r w:rsidR="00F26D69" w:rsidRPr="00F26D69">
        <w:rPr>
          <w:rFonts w:cs="Arial"/>
          <w:color w:val="222222"/>
          <w:szCs w:val="22"/>
        </w:rPr>
        <w:noBreakHyphen/>
        <w:t>manufacturer price or the proportional ex</w:t>
      </w:r>
      <w:r w:rsidR="00F26D69" w:rsidRPr="00F26D69">
        <w:rPr>
          <w:rFonts w:cs="Arial"/>
          <w:color w:val="222222"/>
          <w:szCs w:val="22"/>
        </w:rPr>
        <w:noBreakHyphen/>
        <w:t xml:space="preserve">manufacturer price for each </w:t>
      </w:r>
      <w:r w:rsidR="001A228C">
        <w:rPr>
          <w:rFonts w:cs="Arial"/>
          <w:color w:val="222222"/>
          <w:szCs w:val="22"/>
        </w:rPr>
        <w:t xml:space="preserve">dispensed </w:t>
      </w:r>
      <w:r w:rsidR="00F26D69" w:rsidRPr="00F26D69">
        <w:rPr>
          <w:rFonts w:cs="Arial"/>
          <w:color w:val="222222"/>
          <w:szCs w:val="22"/>
        </w:rPr>
        <w:t>quantity</w:t>
      </w:r>
      <w:r w:rsidR="00E033B3">
        <w:rPr>
          <w:rFonts w:cs="Arial"/>
          <w:color w:val="222222"/>
          <w:szCs w:val="22"/>
        </w:rPr>
        <w:t xml:space="preserve"> (i.e., the cost of the drug)</w:t>
      </w:r>
      <w:r w:rsidR="00F26D69" w:rsidRPr="00F26D69">
        <w:rPr>
          <w:rFonts w:cs="Arial"/>
          <w:color w:val="222222"/>
          <w:szCs w:val="22"/>
        </w:rPr>
        <w:t>.</w:t>
      </w:r>
    </w:p>
    <w:p w14:paraId="5E70F91D" w14:textId="628713DA" w:rsidR="002C2461" w:rsidRPr="009032EF" w:rsidRDefault="009032EF" w:rsidP="00675E9B">
      <w:pPr>
        <w:pStyle w:val="ListBullet"/>
        <w:jc w:val="both"/>
        <w:rPr>
          <w:rFonts w:cs="Arial"/>
          <w:b/>
          <w:bCs/>
          <w:color w:val="358189"/>
          <w:szCs w:val="22"/>
        </w:rPr>
      </w:pPr>
      <w:r>
        <w:rPr>
          <w:rFonts w:cs="Arial"/>
          <w:b/>
          <w:bCs/>
          <w:color w:val="358189"/>
          <w:szCs w:val="22"/>
        </w:rPr>
        <w:lastRenderedPageBreak/>
        <w:t>PBS p</w:t>
      </w:r>
      <w:r w:rsidR="0710B26A" w:rsidRPr="009032EF">
        <w:rPr>
          <w:rFonts w:cs="Arial"/>
          <w:b/>
          <w:bCs/>
          <w:color w:val="358189"/>
          <w:szCs w:val="22"/>
        </w:rPr>
        <w:t>rescriptions</w:t>
      </w:r>
      <w:r w:rsidR="00E033B3" w:rsidRPr="009032EF">
        <w:rPr>
          <w:rFonts w:cs="Arial"/>
          <w:b/>
          <w:bCs/>
          <w:color w:val="358189"/>
          <w:szCs w:val="22"/>
        </w:rPr>
        <w:t xml:space="preserve"> </w:t>
      </w:r>
    </w:p>
    <w:p w14:paraId="325A7627" w14:textId="6E0A0D80" w:rsidR="00976480" w:rsidRDefault="008565ED" w:rsidP="00675E9B">
      <w:pPr>
        <w:jc w:val="both"/>
      </w:pPr>
      <w:r>
        <w:t xml:space="preserve">As of </w:t>
      </w:r>
      <w:r w:rsidR="009F39C3">
        <w:t xml:space="preserve">1 July 2023, </w:t>
      </w:r>
      <w:r w:rsidR="008705A3">
        <w:t>like other PBS medicines</w:t>
      </w:r>
      <w:r w:rsidR="00DD3DCC">
        <w:t>,</w:t>
      </w:r>
      <w:r w:rsidR="008705A3">
        <w:t xml:space="preserve"> </w:t>
      </w:r>
      <w:bookmarkStart w:id="0" w:name="_Hlk137475103"/>
      <w:r w:rsidR="00DD3DCC">
        <w:t xml:space="preserve">new </w:t>
      </w:r>
      <w:r w:rsidR="009F39C3">
        <w:t>prescription</w:t>
      </w:r>
      <w:r w:rsidR="008705A3">
        <w:t>s</w:t>
      </w:r>
      <w:r w:rsidR="009F39C3">
        <w:t xml:space="preserve"> </w:t>
      </w:r>
      <w:r w:rsidR="001E2BD4">
        <w:t xml:space="preserve">that are written by eligible prescribers </w:t>
      </w:r>
      <w:r w:rsidR="009F39C3">
        <w:t>for ODT medicines will need to meet the PBS requirements to be dispensed</w:t>
      </w:r>
      <w:bookmarkEnd w:id="0"/>
      <w:r w:rsidR="009F39C3">
        <w:t xml:space="preserve">. </w:t>
      </w:r>
    </w:p>
    <w:p w14:paraId="130A54BB" w14:textId="5F96DE06" w:rsidR="00976480" w:rsidRDefault="00976480" w:rsidP="00675E9B">
      <w:pPr>
        <w:jc w:val="both"/>
      </w:pPr>
      <w:r>
        <w:t>Maximum quantities for ODT medicines are equivalent to 28 days of the maximum dose per day in line with national guidelines</w:t>
      </w:r>
      <w:r w:rsidR="005551FA">
        <w:rPr>
          <w:rStyle w:val="FootnoteReference"/>
        </w:rPr>
        <w:footnoteReference w:customMarkFollows="1" w:id="3"/>
        <w:t>2</w:t>
      </w:r>
      <w:r>
        <w:t xml:space="preserve"> which is 150 mg for methadone and 32 mg for sublingual buprenorphine</w:t>
      </w:r>
      <w:r w:rsidR="00D17000">
        <w:t xml:space="preserve"> and buprenorphine with naloxone</w:t>
      </w:r>
      <w:r>
        <w:t xml:space="preserve">. </w:t>
      </w:r>
    </w:p>
    <w:p w14:paraId="6A295741" w14:textId="12B4DBDE" w:rsidR="00976480" w:rsidRPr="008B2376" w:rsidRDefault="00976480" w:rsidP="00675E9B">
      <w:pPr>
        <w:autoSpaceDE w:val="0"/>
        <w:autoSpaceDN w:val="0"/>
        <w:adjustRightInd w:val="0"/>
        <w:jc w:val="both"/>
        <w:rPr>
          <w:color w:val="000000"/>
        </w:rPr>
      </w:pPr>
      <w:r>
        <w:t>P</w:t>
      </w:r>
      <w:r w:rsidRPr="00D97E2A">
        <w:t xml:space="preserve">rescriptions for ODT medicines require </w:t>
      </w:r>
      <w:r>
        <w:t xml:space="preserve">a </w:t>
      </w:r>
      <w:r w:rsidRPr="00D97E2A">
        <w:t>Streamline</w:t>
      </w:r>
      <w:r>
        <w:t>d</w:t>
      </w:r>
      <w:r w:rsidRPr="00D97E2A">
        <w:t xml:space="preserve"> Authority Code up to the maximum quantity. Approval for increased quantities may be sought through Services Australia</w:t>
      </w:r>
      <w:r>
        <w:t xml:space="preserve"> for </w:t>
      </w:r>
      <w:r w:rsidR="007A4B36">
        <w:t xml:space="preserve">oral </w:t>
      </w:r>
      <w:r>
        <w:t>methadone and sublingual formulations of ODT medicines</w:t>
      </w:r>
      <w:r w:rsidRPr="00516E96">
        <w:t xml:space="preserve"> </w:t>
      </w:r>
      <w:r>
        <w:t xml:space="preserve">in line with the </w:t>
      </w:r>
      <w:r w:rsidR="00E6290B">
        <w:t xml:space="preserve">Pharmaceutical Benefits Advisory Committee </w:t>
      </w:r>
      <w:r>
        <w:t>recommendation</w:t>
      </w:r>
      <w:r w:rsidRPr="00D97E2A">
        <w:t xml:space="preserve">. </w:t>
      </w:r>
      <w:r>
        <w:rPr>
          <w:color w:val="000000"/>
        </w:rPr>
        <w:t xml:space="preserve">Prescribers can request approval for increased quantities through Services Australia either by calling telephone number 1800 888 333 or applying </w:t>
      </w:r>
      <w:hyperlink r:id="rId21" w:history="1">
        <w:r w:rsidRPr="00E6290B">
          <w:rPr>
            <w:rStyle w:val="Hyperlink"/>
          </w:rPr>
          <w:t>online</w:t>
        </w:r>
      </w:hyperlink>
      <w:r>
        <w:rPr>
          <w:color w:val="000000"/>
        </w:rPr>
        <w:t xml:space="preserve">. </w:t>
      </w:r>
    </w:p>
    <w:p w14:paraId="2F5CB8CC" w14:textId="5F7BDBAF" w:rsidR="00976480" w:rsidRDefault="00976480" w:rsidP="00675E9B">
      <w:pPr>
        <w:jc w:val="both"/>
      </w:pPr>
      <w:r w:rsidRPr="00D97E2A">
        <w:t xml:space="preserve">Up to </w:t>
      </w:r>
      <w:r w:rsidR="00367002">
        <w:t>5</w:t>
      </w:r>
      <w:r w:rsidRPr="00D97E2A">
        <w:t xml:space="preserve"> repeats </w:t>
      </w:r>
      <w:r w:rsidR="00675E9B">
        <w:t>can</w:t>
      </w:r>
      <w:r w:rsidRPr="00D97E2A">
        <w:t xml:space="preserve"> be prescribed for ODT medicines (that is, </w:t>
      </w:r>
      <w:r w:rsidR="00367002">
        <w:t>6</w:t>
      </w:r>
      <w:r w:rsidRPr="00D97E2A">
        <w:t xml:space="preserve"> months total supply when including the original).</w:t>
      </w:r>
    </w:p>
    <w:p w14:paraId="15926368" w14:textId="22B45FDF" w:rsidR="001B6371" w:rsidRDefault="00E6290B" w:rsidP="00675E9B">
      <w:pPr>
        <w:jc w:val="both"/>
      </w:pPr>
      <w:r w:rsidRPr="00E6290B">
        <w:t xml:space="preserve">Additional clinical instructions can be provided separate to the PBS prescription (which provides a total supply quantity). </w:t>
      </w:r>
      <w:r w:rsidR="00EC60BB">
        <w:t>In line with state and territory ODT program requirements, p</w:t>
      </w:r>
      <w:r w:rsidR="00D623B2" w:rsidRPr="00D97E2A">
        <w:t xml:space="preserve">rescribers </w:t>
      </w:r>
      <w:r w:rsidR="00D623B2">
        <w:t>are encouraged to</w:t>
      </w:r>
      <w:r w:rsidR="00D623B2" w:rsidRPr="00D97E2A">
        <w:t xml:space="preserve"> </w:t>
      </w:r>
      <w:r w:rsidR="00D623B2">
        <w:t xml:space="preserve">continue to </w:t>
      </w:r>
      <w:r w:rsidR="00D623B2" w:rsidRPr="00D97E2A">
        <w:t xml:space="preserve">provide clear daily dosing instructions including dose variations and take away arrangements to the PBS </w:t>
      </w:r>
      <w:r w:rsidR="00EC60BB">
        <w:t>a</w:t>
      </w:r>
      <w:r w:rsidR="00D623B2" w:rsidRPr="00D97E2A">
        <w:t xml:space="preserve">pproved </w:t>
      </w:r>
      <w:r w:rsidR="00EC60BB">
        <w:t>s</w:t>
      </w:r>
      <w:r w:rsidR="00D623B2" w:rsidRPr="00D97E2A">
        <w:t xml:space="preserve">upplier, to support the dose administration (staged supply) of these medicines to patients. </w:t>
      </w:r>
    </w:p>
    <w:p w14:paraId="0E7C7AA4" w14:textId="2F34ECA0" w:rsidR="001B6371" w:rsidRDefault="001B6371" w:rsidP="00675E9B">
      <w:pPr>
        <w:jc w:val="both"/>
      </w:pPr>
      <w:r>
        <w:t>Provided the patient does not need to be prescribed a new PBS pharmaceutical benefit (</w:t>
      </w:r>
      <w:r w:rsidR="00E375D1">
        <w:t>for example,</w:t>
      </w:r>
      <w:r>
        <w:t xml:space="preserve"> a different drug or strength o</w:t>
      </w:r>
      <w:r w:rsidR="004364EE">
        <w:t>f</w:t>
      </w:r>
      <w:r>
        <w:t xml:space="preserve"> drug) it is expected the </w:t>
      </w:r>
      <w:r>
        <w:rPr>
          <w:rFonts w:eastAsiaTheme="minorHAnsi"/>
          <w:szCs w:val="22"/>
        </w:rPr>
        <w:t>prescriber and PBS approved supplier would communicate/confirm dose variation</w:t>
      </w:r>
      <w:r w:rsidR="00E6290B">
        <w:rPr>
          <w:rFonts w:eastAsiaTheme="minorHAnsi"/>
          <w:szCs w:val="22"/>
        </w:rPr>
        <w:t>s</w:t>
      </w:r>
      <w:r>
        <w:rPr>
          <w:rFonts w:eastAsiaTheme="minorHAnsi"/>
          <w:szCs w:val="22"/>
        </w:rPr>
        <w:t xml:space="preserve">, as is currently common practice. </w:t>
      </w:r>
    </w:p>
    <w:p w14:paraId="383CB5A5" w14:textId="58776010" w:rsidR="00D623B2" w:rsidRDefault="00D623B2" w:rsidP="00675E9B">
      <w:pPr>
        <w:jc w:val="both"/>
      </w:pPr>
      <w:r>
        <w:t>For prescriptions written to facilitate</w:t>
      </w:r>
      <w:r w:rsidRPr="00B73A0F">
        <w:t xml:space="preserve"> </w:t>
      </w:r>
      <w:r w:rsidR="001B6371">
        <w:t xml:space="preserve">variable or </w:t>
      </w:r>
      <w:r>
        <w:t xml:space="preserve">dosing within a range, it is suggested the maximum quantity should be </w:t>
      </w:r>
      <w:r w:rsidR="001B6371">
        <w:t xml:space="preserve">calculated </w:t>
      </w:r>
      <w:r>
        <w:t xml:space="preserve">based on the maximum daily dose </w:t>
      </w:r>
      <w:r w:rsidR="001B6371">
        <w:t xml:space="preserve">required. </w:t>
      </w:r>
      <w:r>
        <w:t xml:space="preserve"> </w:t>
      </w:r>
    </w:p>
    <w:p w14:paraId="76AD1A7A" w14:textId="29A871F1" w:rsidR="00EB0602" w:rsidRDefault="00EB0602" w:rsidP="00675E9B">
      <w:pPr>
        <w:jc w:val="both"/>
      </w:pPr>
    </w:p>
    <w:p w14:paraId="56C0C94E" w14:textId="68C7E258" w:rsidR="00E033B3" w:rsidRPr="001B6371" w:rsidRDefault="00EB0602" w:rsidP="00675E9B">
      <w:pPr>
        <w:jc w:val="both"/>
        <w:rPr>
          <w:b/>
          <w:bCs/>
        </w:rPr>
      </w:pPr>
      <w:r w:rsidRPr="001B6371">
        <w:rPr>
          <w:b/>
          <w:bCs/>
        </w:rPr>
        <w:t xml:space="preserve">For more detailed information refer to </w:t>
      </w:r>
      <w:r w:rsidRPr="00373CFB">
        <w:rPr>
          <w:b/>
          <w:bCs/>
        </w:rPr>
        <w:t xml:space="preserve">the </w:t>
      </w:r>
      <w:r w:rsidR="00BC34ED" w:rsidRPr="00373CFB">
        <w:rPr>
          <w:b/>
          <w:bCs/>
        </w:rPr>
        <w:t xml:space="preserve">Information </w:t>
      </w:r>
      <w:r w:rsidRPr="00373CFB">
        <w:rPr>
          <w:b/>
          <w:bCs/>
        </w:rPr>
        <w:t>for Prescribers</w:t>
      </w:r>
      <w:r w:rsidR="00BC34ED" w:rsidRPr="00373CFB">
        <w:rPr>
          <w:b/>
          <w:bCs/>
        </w:rPr>
        <w:t xml:space="preserve"> document</w:t>
      </w:r>
      <w:r w:rsidRPr="00373CFB">
        <w:rPr>
          <w:b/>
          <w:bCs/>
        </w:rPr>
        <w:t>.</w:t>
      </w:r>
      <w:r w:rsidRPr="001B6371">
        <w:rPr>
          <w:b/>
          <w:bCs/>
        </w:rPr>
        <w:t xml:space="preserve"> </w:t>
      </w:r>
      <w:r w:rsidR="008C173D">
        <w:rPr>
          <w:b/>
          <w:bCs/>
        </w:rPr>
        <w:br w:type="page"/>
      </w:r>
    </w:p>
    <w:p w14:paraId="5622E084" w14:textId="007ED094" w:rsidR="00DE2545" w:rsidRDefault="00DE2545" w:rsidP="00AD109F">
      <w:pPr>
        <w:spacing w:before="240"/>
      </w:pPr>
    </w:p>
    <w:p w14:paraId="490951B8" w14:textId="39E28ED2" w:rsidR="00275923" w:rsidRDefault="00275923">
      <w:pPr>
        <w:spacing w:before="0" w:after="0" w:line="240" w:lineRule="auto"/>
      </w:pPr>
    </w:p>
    <w:sectPr w:rsidR="00275923" w:rsidSect="00B53987">
      <w:headerReference w:type="default"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BC2B" w14:textId="77777777" w:rsidR="007219AF" w:rsidRDefault="007219AF" w:rsidP="006B56BB">
      <w:r>
        <w:separator/>
      </w:r>
    </w:p>
    <w:p w14:paraId="3D15A506" w14:textId="77777777" w:rsidR="007219AF" w:rsidRDefault="007219AF"/>
  </w:endnote>
  <w:endnote w:type="continuationSeparator" w:id="0">
    <w:p w14:paraId="036D74BC" w14:textId="77777777" w:rsidR="007219AF" w:rsidRDefault="007219AF" w:rsidP="006B56BB">
      <w:r>
        <w:continuationSeparator/>
      </w:r>
    </w:p>
    <w:p w14:paraId="1924159C" w14:textId="77777777" w:rsidR="007219AF" w:rsidRDefault="007219AF"/>
  </w:endnote>
  <w:endnote w:type="continuationNotice" w:id="1">
    <w:p w14:paraId="61873FA2" w14:textId="77777777" w:rsidR="007219AF" w:rsidRDefault="00721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BBD4" w14:textId="1BFBD304" w:rsidR="00B53987" w:rsidRDefault="001B6371" w:rsidP="00E67A6E">
    <w:pPr>
      <w:pStyle w:val="Footer"/>
      <w:jc w:val="left"/>
    </w:pPr>
    <w:r>
      <w:t xml:space="preserve">ODT Medicines </w:t>
    </w:r>
    <w:r w:rsidRPr="00373CFB">
      <w:t xml:space="preserve">- </w:t>
    </w:r>
    <w:r w:rsidR="00BC34ED" w:rsidRPr="00373CFB">
      <w:t xml:space="preserve">Information </w:t>
    </w:r>
    <w:r w:rsidRPr="00373CFB">
      <w:t xml:space="preserve">for community and hospital pharmacists – </w:t>
    </w:r>
    <w:r w:rsidR="004C0B96" w:rsidRPr="00373CFB">
      <w:t xml:space="preserve">updated </w:t>
    </w:r>
    <w:r w:rsidR="00B035F8">
      <w:t>July 2025</w:t>
    </w:r>
    <w:r w:rsidR="00FC1A5B" w:rsidRPr="00373CFB">
      <w:t xml:space="preserve"> </w:t>
    </w:r>
    <w:sdt>
      <w:sdtPr>
        <w:id w:val="-183903453"/>
        <w:docPartObj>
          <w:docPartGallery w:val="Page Numbers (Bottom of Page)"/>
          <w:docPartUnique/>
        </w:docPartObj>
      </w:sdtPr>
      <w:sdtEndPr/>
      <w:sdtContent>
        <w:r w:rsidR="00B53987" w:rsidRPr="00373CFB">
          <w:tab/>
        </w:r>
        <w:r w:rsidR="00B53987" w:rsidRPr="00373CFB">
          <w:fldChar w:fldCharType="begin"/>
        </w:r>
        <w:r w:rsidR="00B53987" w:rsidRPr="00373CFB">
          <w:instrText xml:space="preserve"> PAGE   \* MERGEFORMAT </w:instrText>
        </w:r>
        <w:r w:rsidR="00B53987" w:rsidRPr="00373CFB">
          <w:fldChar w:fldCharType="separate"/>
        </w:r>
        <w:r w:rsidR="00B53987" w:rsidRPr="00373CFB">
          <w:t>1</w:t>
        </w:r>
        <w:r w:rsidR="00B53987" w:rsidRPr="00373CF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8173" w14:textId="625E63E7" w:rsidR="00B53987" w:rsidRDefault="00570B19" w:rsidP="00B53987">
    <w:pPr>
      <w:pStyle w:val="Footer"/>
    </w:pPr>
    <w:r>
      <w:t xml:space="preserve">ODT </w:t>
    </w:r>
    <w:r w:rsidR="00471893">
      <w:t>M</w:t>
    </w:r>
    <w:r>
      <w:t>edicines</w:t>
    </w:r>
    <w:r w:rsidR="000B5E15">
      <w:t xml:space="preserve"> - </w:t>
    </w:r>
    <w:r>
      <w:t xml:space="preserve">Factsheet for </w:t>
    </w:r>
    <w:r w:rsidR="000B5E15">
      <w:t xml:space="preserve">community and hospital pharmacists – </w:t>
    </w:r>
    <w:r w:rsidR="004C0B96">
      <w:t xml:space="preserve">updated </w:t>
    </w:r>
    <w:r w:rsidR="00B035F8">
      <w:t>July 2025</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5B12" w14:textId="77777777" w:rsidR="007219AF" w:rsidRDefault="007219AF" w:rsidP="00597A46">
      <w:pPr>
        <w:spacing w:before="80" w:after="40"/>
      </w:pPr>
      <w:r>
        <w:separator/>
      </w:r>
    </w:p>
  </w:footnote>
  <w:footnote w:type="continuationSeparator" w:id="0">
    <w:p w14:paraId="34929A39" w14:textId="77777777" w:rsidR="007219AF" w:rsidRDefault="007219AF" w:rsidP="006B56BB">
      <w:r>
        <w:continuationSeparator/>
      </w:r>
    </w:p>
    <w:p w14:paraId="77334B01" w14:textId="77777777" w:rsidR="007219AF" w:rsidRDefault="007219AF"/>
  </w:footnote>
  <w:footnote w:type="continuationNotice" w:id="1">
    <w:p w14:paraId="4C2129A2" w14:textId="77777777" w:rsidR="007219AF" w:rsidRDefault="007219AF"/>
  </w:footnote>
  <w:footnote w:id="2">
    <w:p w14:paraId="57D3CE69" w14:textId="3BA644F3" w:rsidR="0088184E" w:rsidRDefault="0088184E" w:rsidP="00AE0EAE">
      <w:pPr>
        <w:spacing w:before="0" w:after="0"/>
      </w:pPr>
      <w:r>
        <w:rPr>
          <w:rStyle w:val="FootnoteReference"/>
        </w:rPr>
        <w:footnoteRef/>
      </w:r>
      <w:r>
        <w:t xml:space="preserve"> </w:t>
      </w:r>
      <w:r w:rsidRPr="0088184E">
        <w:rPr>
          <w:sz w:val="18"/>
          <w:szCs w:val="18"/>
        </w:rPr>
        <w:t>ODT medicines currently listed on the PBS include methadone oral liquid, buprenorphine sublingual tablets, buprenorphine with naloxone sublingual films and long-acting injectable buprenorphine products.</w:t>
      </w:r>
    </w:p>
  </w:footnote>
  <w:footnote w:id="3">
    <w:p w14:paraId="52B4D4A0" w14:textId="0E9854F2" w:rsidR="005551FA" w:rsidRPr="00BA42D4" w:rsidRDefault="005551FA" w:rsidP="00976480">
      <w:pPr>
        <w:pStyle w:val="FootnoteText"/>
      </w:pPr>
      <w:r>
        <w:rPr>
          <w:rStyle w:val="FootnoteReference"/>
        </w:rPr>
        <w:t>2</w:t>
      </w:r>
      <w:r>
        <w:t xml:space="preserve"> </w:t>
      </w:r>
      <w:r w:rsidRPr="00471D14">
        <w:t xml:space="preserve">National guidelines for Medication-Assisted Treatment of Opioid Dependence 2014. Available at: </w:t>
      </w:r>
      <w:hyperlink r:id="rId1" w:history="1">
        <w:r w:rsidRPr="00471D14">
          <w:rPr>
            <w:rStyle w:val="Hyperlink"/>
          </w:rPr>
          <w:t>www.health.gov.au/resources/publications/national-guidelines-for-medication-assisted-treatment-of-opioid-dependence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02D7" w14:textId="78EBE206"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826" w14:textId="26DB0ED4" w:rsidR="00B53987" w:rsidRDefault="00D642EA">
    <w:pPr>
      <w:pStyle w:val="Header"/>
    </w:pPr>
    <w:r>
      <w:rPr>
        <w:noProof/>
        <w:lang w:eastAsia="en-AU"/>
      </w:rPr>
      <w:drawing>
        <wp:inline distT="0" distB="0" distL="0" distR="0" wp14:anchorId="6AD851C6" wp14:editId="07C5FE76">
          <wp:extent cx="5756803" cy="941705"/>
          <wp:effectExtent l="0" t="0" r="0" b="0"/>
          <wp:docPr id="1411441383" name="Picture 141144138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F1CF9"/>
    <w:multiLevelType w:val="hybridMultilevel"/>
    <w:tmpl w:val="CF6A8C12"/>
    <w:lvl w:ilvl="0" w:tplc="D4565FC0">
      <w:numFmt w:val="bullet"/>
      <w:lvlText w:val="-"/>
      <w:lvlJc w:val="left"/>
      <w:pPr>
        <w:ind w:left="708" w:hanging="360"/>
      </w:pPr>
      <w:rPr>
        <w:rFonts w:ascii="Arial" w:eastAsia="Times New Roman" w:hAnsi="Arial" w:cs="Arial" w:hint="default"/>
      </w:rPr>
    </w:lvl>
    <w:lvl w:ilvl="1" w:tplc="0C090003" w:tentative="1">
      <w:start w:val="1"/>
      <w:numFmt w:val="bullet"/>
      <w:lvlText w:val="o"/>
      <w:lvlJc w:val="left"/>
      <w:pPr>
        <w:ind w:left="1428" w:hanging="360"/>
      </w:pPr>
      <w:rPr>
        <w:rFonts w:ascii="Courier New" w:hAnsi="Courier New" w:cs="Courier New" w:hint="default"/>
      </w:rPr>
    </w:lvl>
    <w:lvl w:ilvl="2" w:tplc="0C090005" w:tentative="1">
      <w:start w:val="1"/>
      <w:numFmt w:val="bullet"/>
      <w:lvlText w:val=""/>
      <w:lvlJc w:val="left"/>
      <w:pPr>
        <w:ind w:left="2148" w:hanging="360"/>
      </w:pPr>
      <w:rPr>
        <w:rFonts w:ascii="Wingdings" w:hAnsi="Wingdings" w:hint="default"/>
      </w:rPr>
    </w:lvl>
    <w:lvl w:ilvl="3" w:tplc="0C090001" w:tentative="1">
      <w:start w:val="1"/>
      <w:numFmt w:val="bullet"/>
      <w:lvlText w:val=""/>
      <w:lvlJc w:val="left"/>
      <w:pPr>
        <w:ind w:left="2868" w:hanging="360"/>
      </w:pPr>
      <w:rPr>
        <w:rFonts w:ascii="Symbol" w:hAnsi="Symbol" w:hint="default"/>
      </w:rPr>
    </w:lvl>
    <w:lvl w:ilvl="4" w:tplc="0C090003" w:tentative="1">
      <w:start w:val="1"/>
      <w:numFmt w:val="bullet"/>
      <w:lvlText w:val="o"/>
      <w:lvlJc w:val="left"/>
      <w:pPr>
        <w:ind w:left="3588" w:hanging="360"/>
      </w:pPr>
      <w:rPr>
        <w:rFonts w:ascii="Courier New" w:hAnsi="Courier New" w:cs="Courier New" w:hint="default"/>
      </w:rPr>
    </w:lvl>
    <w:lvl w:ilvl="5" w:tplc="0C090005" w:tentative="1">
      <w:start w:val="1"/>
      <w:numFmt w:val="bullet"/>
      <w:lvlText w:val=""/>
      <w:lvlJc w:val="left"/>
      <w:pPr>
        <w:ind w:left="4308" w:hanging="360"/>
      </w:pPr>
      <w:rPr>
        <w:rFonts w:ascii="Wingdings" w:hAnsi="Wingdings" w:hint="default"/>
      </w:rPr>
    </w:lvl>
    <w:lvl w:ilvl="6" w:tplc="0C090001" w:tentative="1">
      <w:start w:val="1"/>
      <w:numFmt w:val="bullet"/>
      <w:lvlText w:val=""/>
      <w:lvlJc w:val="left"/>
      <w:pPr>
        <w:ind w:left="5028" w:hanging="360"/>
      </w:pPr>
      <w:rPr>
        <w:rFonts w:ascii="Symbol" w:hAnsi="Symbol" w:hint="default"/>
      </w:rPr>
    </w:lvl>
    <w:lvl w:ilvl="7" w:tplc="0C090003" w:tentative="1">
      <w:start w:val="1"/>
      <w:numFmt w:val="bullet"/>
      <w:lvlText w:val="o"/>
      <w:lvlJc w:val="left"/>
      <w:pPr>
        <w:ind w:left="5748" w:hanging="360"/>
      </w:pPr>
      <w:rPr>
        <w:rFonts w:ascii="Courier New" w:hAnsi="Courier New" w:cs="Courier New" w:hint="default"/>
      </w:rPr>
    </w:lvl>
    <w:lvl w:ilvl="8" w:tplc="0C090005" w:tentative="1">
      <w:start w:val="1"/>
      <w:numFmt w:val="bullet"/>
      <w:lvlText w:val=""/>
      <w:lvlJc w:val="left"/>
      <w:pPr>
        <w:ind w:left="6468" w:hanging="360"/>
      </w:pPr>
      <w:rPr>
        <w:rFonts w:ascii="Wingdings" w:hAnsi="Wingdings" w:hint="default"/>
      </w:rPr>
    </w:lvl>
  </w:abstractNum>
  <w:abstractNum w:abstractNumId="2" w15:restartNumberingAfterBreak="0">
    <w:nsid w:val="12A3223E"/>
    <w:multiLevelType w:val="hybridMultilevel"/>
    <w:tmpl w:val="3146A490"/>
    <w:lvl w:ilvl="0" w:tplc="FFFFFFFF">
      <w:start w:val="2"/>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 w15:restartNumberingAfterBreak="0">
    <w:nsid w:val="12E0403F"/>
    <w:multiLevelType w:val="hybridMultilevel"/>
    <w:tmpl w:val="C8061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03B01"/>
    <w:multiLevelType w:val="hybridMultilevel"/>
    <w:tmpl w:val="3146A490"/>
    <w:lvl w:ilvl="0" w:tplc="FFFFFFFF">
      <w:start w:val="2"/>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5" w15:restartNumberingAfterBreak="0">
    <w:nsid w:val="1E6C3B69"/>
    <w:multiLevelType w:val="hybridMultilevel"/>
    <w:tmpl w:val="3146A490"/>
    <w:lvl w:ilvl="0" w:tplc="8F06562C">
      <w:start w:val="2"/>
      <w:numFmt w:val="decimal"/>
      <w:lvlText w:val="%1"/>
      <w:lvlJc w:val="left"/>
      <w:pPr>
        <w:ind w:left="708" w:hanging="360"/>
      </w:pPr>
      <w:rPr>
        <w:rFonts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6" w15:restartNumberingAfterBreak="0">
    <w:nsid w:val="23693A7A"/>
    <w:multiLevelType w:val="multilevel"/>
    <w:tmpl w:val="BDC6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60C32"/>
    <w:multiLevelType w:val="hybridMultilevel"/>
    <w:tmpl w:val="3E34A45C"/>
    <w:lvl w:ilvl="0" w:tplc="0C09000B">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66740B7"/>
    <w:multiLevelType w:val="multilevel"/>
    <w:tmpl w:val="BDC6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E800D2"/>
    <w:multiLevelType w:val="hybridMultilevel"/>
    <w:tmpl w:val="C9D447F6"/>
    <w:lvl w:ilvl="0" w:tplc="4B58F1F4">
      <w:numFmt w:val="bullet"/>
      <w:lvlText w:val="-"/>
      <w:lvlJc w:val="left"/>
      <w:pPr>
        <w:ind w:left="708" w:hanging="360"/>
      </w:pPr>
      <w:rPr>
        <w:rFonts w:ascii="Arial" w:eastAsia="Times New Roman" w:hAnsi="Arial" w:cs="Arial" w:hint="default"/>
      </w:rPr>
    </w:lvl>
    <w:lvl w:ilvl="1" w:tplc="0C090003" w:tentative="1">
      <w:start w:val="1"/>
      <w:numFmt w:val="bullet"/>
      <w:lvlText w:val="o"/>
      <w:lvlJc w:val="left"/>
      <w:pPr>
        <w:ind w:left="1428" w:hanging="360"/>
      </w:pPr>
      <w:rPr>
        <w:rFonts w:ascii="Courier New" w:hAnsi="Courier New" w:cs="Courier New" w:hint="default"/>
      </w:rPr>
    </w:lvl>
    <w:lvl w:ilvl="2" w:tplc="0C090005" w:tentative="1">
      <w:start w:val="1"/>
      <w:numFmt w:val="bullet"/>
      <w:lvlText w:val=""/>
      <w:lvlJc w:val="left"/>
      <w:pPr>
        <w:ind w:left="2148" w:hanging="360"/>
      </w:pPr>
      <w:rPr>
        <w:rFonts w:ascii="Wingdings" w:hAnsi="Wingdings" w:hint="default"/>
      </w:rPr>
    </w:lvl>
    <w:lvl w:ilvl="3" w:tplc="0C090001" w:tentative="1">
      <w:start w:val="1"/>
      <w:numFmt w:val="bullet"/>
      <w:lvlText w:val=""/>
      <w:lvlJc w:val="left"/>
      <w:pPr>
        <w:ind w:left="2868" w:hanging="360"/>
      </w:pPr>
      <w:rPr>
        <w:rFonts w:ascii="Symbol" w:hAnsi="Symbol" w:hint="default"/>
      </w:rPr>
    </w:lvl>
    <w:lvl w:ilvl="4" w:tplc="0C090003" w:tentative="1">
      <w:start w:val="1"/>
      <w:numFmt w:val="bullet"/>
      <w:lvlText w:val="o"/>
      <w:lvlJc w:val="left"/>
      <w:pPr>
        <w:ind w:left="3588" w:hanging="360"/>
      </w:pPr>
      <w:rPr>
        <w:rFonts w:ascii="Courier New" w:hAnsi="Courier New" w:cs="Courier New" w:hint="default"/>
      </w:rPr>
    </w:lvl>
    <w:lvl w:ilvl="5" w:tplc="0C090005" w:tentative="1">
      <w:start w:val="1"/>
      <w:numFmt w:val="bullet"/>
      <w:lvlText w:val=""/>
      <w:lvlJc w:val="left"/>
      <w:pPr>
        <w:ind w:left="4308" w:hanging="360"/>
      </w:pPr>
      <w:rPr>
        <w:rFonts w:ascii="Wingdings" w:hAnsi="Wingdings" w:hint="default"/>
      </w:rPr>
    </w:lvl>
    <w:lvl w:ilvl="6" w:tplc="0C090001" w:tentative="1">
      <w:start w:val="1"/>
      <w:numFmt w:val="bullet"/>
      <w:lvlText w:val=""/>
      <w:lvlJc w:val="left"/>
      <w:pPr>
        <w:ind w:left="5028" w:hanging="360"/>
      </w:pPr>
      <w:rPr>
        <w:rFonts w:ascii="Symbol" w:hAnsi="Symbol" w:hint="default"/>
      </w:rPr>
    </w:lvl>
    <w:lvl w:ilvl="7" w:tplc="0C090003" w:tentative="1">
      <w:start w:val="1"/>
      <w:numFmt w:val="bullet"/>
      <w:lvlText w:val="o"/>
      <w:lvlJc w:val="left"/>
      <w:pPr>
        <w:ind w:left="5748" w:hanging="360"/>
      </w:pPr>
      <w:rPr>
        <w:rFonts w:ascii="Courier New" w:hAnsi="Courier New" w:cs="Courier New" w:hint="default"/>
      </w:rPr>
    </w:lvl>
    <w:lvl w:ilvl="8" w:tplc="0C090005" w:tentative="1">
      <w:start w:val="1"/>
      <w:numFmt w:val="bullet"/>
      <w:lvlText w:val=""/>
      <w:lvlJc w:val="left"/>
      <w:pPr>
        <w:ind w:left="6468" w:hanging="360"/>
      </w:pPr>
      <w:rPr>
        <w:rFonts w:ascii="Wingdings" w:hAnsi="Wingdings" w:hint="default"/>
      </w:rPr>
    </w:lvl>
  </w:abstractNum>
  <w:abstractNum w:abstractNumId="1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043474"/>
    <w:multiLevelType w:val="hybridMultilevel"/>
    <w:tmpl w:val="09B485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14070583">
    <w:abstractNumId w:val="8"/>
  </w:num>
  <w:num w:numId="2" w16cid:durableId="498544734">
    <w:abstractNumId w:val="14"/>
  </w:num>
  <w:num w:numId="3" w16cid:durableId="581185355">
    <w:abstractNumId w:val="10"/>
  </w:num>
  <w:num w:numId="4" w16cid:durableId="256212986">
    <w:abstractNumId w:val="12"/>
  </w:num>
  <w:num w:numId="5" w16cid:durableId="1371026784">
    <w:abstractNumId w:val="0"/>
  </w:num>
  <w:num w:numId="6" w16cid:durableId="586502243">
    <w:abstractNumId w:val="3"/>
  </w:num>
  <w:num w:numId="7" w16cid:durableId="1955672719">
    <w:abstractNumId w:val="7"/>
  </w:num>
  <w:num w:numId="8" w16cid:durableId="420683513">
    <w:abstractNumId w:val="13"/>
  </w:num>
  <w:num w:numId="9" w16cid:durableId="1002928179">
    <w:abstractNumId w:val="6"/>
  </w:num>
  <w:num w:numId="10" w16cid:durableId="1065762642">
    <w:abstractNumId w:val="9"/>
  </w:num>
  <w:num w:numId="11" w16cid:durableId="78840005">
    <w:abstractNumId w:val="5"/>
  </w:num>
  <w:num w:numId="12" w16cid:durableId="1794714769">
    <w:abstractNumId w:val="4"/>
  </w:num>
  <w:num w:numId="13" w16cid:durableId="223565571">
    <w:abstractNumId w:val="2"/>
  </w:num>
  <w:num w:numId="14" w16cid:durableId="1036733289">
    <w:abstractNumId w:val="11"/>
  </w:num>
  <w:num w:numId="15" w16cid:durableId="48459085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61"/>
    <w:rsid w:val="00001024"/>
    <w:rsid w:val="00002761"/>
    <w:rsid w:val="00002EE6"/>
    <w:rsid w:val="00003743"/>
    <w:rsid w:val="00004748"/>
    <w:rsid w:val="000047B4"/>
    <w:rsid w:val="00005712"/>
    <w:rsid w:val="0000624D"/>
    <w:rsid w:val="00007FD8"/>
    <w:rsid w:val="000117F8"/>
    <w:rsid w:val="0001460F"/>
    <w:rsid w:val="000154BB"/>
    <w:rsid w:val="00020356"/>
    <w:rsid w:val="00022629"/>
    <w:rsid w:val="00022C94"/>
    <w:rsid w:val="00026139"/>
    <w:rsid w:val="00027601"/>
    <w:rsid w:val="00032EBD"/>
    <w:rsid w:val="00033321"/>
    <w:rsid w:val="000338E5"/>
    <w:rsid w:val="00033AC2"/>
    <w:rsid w:val="00033ECC"/>
    <w:rsid w:val="0003422F"/>
    <w:rsid w:val="00035D84"/>
    <w:rsid w:val="000367EA"/>
    <w:rsid w:val="000413A2"/>
    <w:rsid w:val="00042A01"/>
    <w:rsid w:val="00043005"/>
    <w:rsid w:val="000432E9"/>
    <w:rsid w:val="00043DC0"/>
    <w:rsid w:val="00046FF0"/>
    <w:rsid w:val="00050176"/>
    <w:rsid w:val="00050342"/>
    <w:rsid w:val="00050990"/>
    <w:rsid w:val="00051B02"/>
    <w:rsid w:val="00054837"/>
    <w:rsid w:val="000565F8"/>
    <w:rsid w:val="00057F98"/>
    <w:rsid w:val="00060307"/>
    <w:rsid w:val="000604A5"/>
    <w:rsid w:val="000621B8"/>
    <w:rsid w:val="00067456"/>
    <w:rsid w:val="0007072B"/>
    <w:rsid w:val="000709D0"/>
    <w:rsid w:val="00071506"/>
    <w:rsid w:val="0007154F"/>
    <w:rsid w:val="00074160"/>
    <w:rsid w:val="00075030"/>
    <w:rsid w:val="00081AB1"/>
    <w:rsid w:val="0008235C"/>
    <w:rsid w:val="000863FB"/>
    <w:rsid w:val="000901F6"/>
    <w:rsid w:val="00090316"/>
    <w:rsid w:val="00093981"/>
    <w:rsid w:val="000961B0"/>
    <w:rsid w:val="00097974"/>
    <w:rsid w:val="00097D49"/>
    <w:rsid w:val="000A1A8B"/>
    <w:rsid w:val="000A3182"/>
    <w:rsid w:val="000A399F"/>
    <w:rsid w:val="000A4CF0"/>
    <w:rsid w:val="000A5422"/>
    <w:rsid w:val="000A686D"/>
    <w:rsid w:val="000B0361"/>
    <w:rsid w:val="000B067A"/>
    <w:rsid w:val="000B1540"/>
    <w:rsid w:val="000B1E53"/>
    <w:rsid w:val="000B33FD"/>
    <w:rsid w:val="000B395D"/>
    <w:rsid w:val="000B45F7"/>
    <w:rsid w:val="000B4ABA"/>
    <w:rsid w:val="000B5E15"/>
    <w:rsid w:val="000B7F01"/>
    <w:rsid w:val="000C273C"/>
    <w:rsid w:val="000C4B16"/>
    <w:rsid w:val="000C50C3"/>
    <w:rsid w:val="000C56FA"/>
    <w:rsid w:val="000C5E14"/>
    <w:rsid w:val="000C730C"/>
    <w:rsid w:val="000D21F6"/>
    <w:rsid w:val="000D4500"/>
    <w:rsid w:val="000D7AEA"/>
    <w:rsid w:val="000E22C2"/>
    <w:rsid w:val="000E2C66"/>
    <w:rsid w:val="000E47E3"/>
    <w:rsid w:val="000E5E28"/>
    <w:rsid w:val="000E65D5"/>
    <w:rsid w:val="000E732B"/>
    <w:rsid w:val="000E7A70"/>
    <w:rsid w:val="000F0A88"/>
    <w:rsid w:val="000F123C"/>
    <w:rsid w:val="000F2FED"/>
    <w:rsid w:val="00101A33"/>
    <w:rsid w:val="0010374F"/>
    <w:rsid w:val="0010616D"/>
    <w:rsid w:val="001071E6"/>
    <w:rsid w:val="00110478"/>
    <w:rsid w:val="0011104C"/>
    <w:rsid w:val="0011401D"/>
    <w:rsid w:val="0011711B"/>
    <w:rsid w:val="0011785E"/>
    <w:rsid w:val="00117F8A"/>
    <w:rsid w:val="00120FA8"/>
    <w:rsid w:val="00121B9B"/>
    <w:rsid w:val="00122ADC"/>
    <w:rsid w:val="00126EB8"/>
    <w:rsid w:val="00130F59"/>
    <w:rsid w:val="001326CF"/>
    <w:rsid w:val="00133EC0"/>
    <w:rsid w:val="0013436A"/>
    <w:rsid w:val="00141CE5"/>
    <w:rsid w:val="00141F58"/>
    <w:rsid w:val="00144908"/>
    <w:rsid w:val="00145BCA"/>
    <w:rsid w:val="001467E6"/>
    <w:rsid w:val="00146E97"/>
    <w:rsid w:val="00150DF0"/>
    <w:rsid w:val="00152B2A"/>
    <w:rsid w:val="0015311E"/>
    <w:rsid w:val="0015491B"/>
    <w:rsid w:val="00156D96"/>
    <w:rsid w:val="001571C7"/>
    <w:rsid w:val="00157F1E"/>
    <w:rsid w:val="00160F6F"/>
    <w:rsid w:val="00161094"/>
    <w:rsid w:val="00162897"/>
    <w:rsid w:val="00164CDE"/>
    <w:rsid w:val="001660CF"/>
    <w:rsid w:val="00170318"/>
    <w:rsid w:val="001762C6"/>
    <w:rsid w:val="0017665C"/>
    <w:rsid w:val="001766B5"/>
    <w:rsid w:val="001773D0"/>
    <w:rsid w:val="00177AD2"/>
    <w:rsid w:val="001815A8"/>
    <w:rsid w:val="00182DB6"/>
    <w:rsid w:val="001839E3"/>
    <w:rsid w:val="001840FA"/>
    <w:rsid w:val="00185F2C"/>
    <w:rsid w:val="00190079"/>
    <w:rsid w:val="001959B9"/>
    <w:rsid w:val="0019622E"/>
    <w:rsid w:val="001966A7"/>
    <w:rsid w:val="001969C2"/>
    <w:rsid w:val="001975BA"/>
    <w:rsid w:val="00197BCB"/>
    <w:rsid w:val="001A00E1"/>
    <w:rsid w:val="001A228C"/>
    <w:rsid w:val="001A3E5A"/>
    <w:rsid w:val="001A3FDA"/>
    <w:rsid w:val="001A4627"/>
    <w:rsid w:val="001A4979"/>
    <w:rsid w:val="001B15D3"/>
    <w:rsid w:val="001B3443"/>
    <w:rsid w:val="001B3C48"/>
    <w:rsid w:val="001B4DF4"/>
    <w:rsid w:val="001B5016"/>
    <w:rsid w:val="001B55C8"/>
    <w:rsid w:val="001B6371"/>
    <w:rsid w:val="001C0326"/>
    <w:rsid w:val="001C192F"/>
    <w:rsid w:val="001C1DB9"/>
    <w:rsid w:val="001C2B01"/>
    <w:rsid w:val="001C3C42"/>
    <w:rsid w:val="001C5594"/>
    <w:rsid w:val="001C7EF2"/>
    <w:rsid w:val="001D0E56"/>
    <w:rsid w:val="001D19DA"/>
    <w:rsid w:val="001D5358"/>
    <w:rsid w:val="001D66D0"/>
    <w:rsid w:val="001D7869"/>
    <w:rsid w:val="001E2BD4"/>
    <w:rsid w:val="001F02D6"/>
    <w:rsid w:val="001F154E"/>
    <w:rsid w:val="001F1AF8"/>
    <w:rsid w:val="001F61AD"/>
    <w:rsid w:val="001F64F9"/>
    <w:rsid w:val="002026CD"/>
    <w:rsid w:val="002033FC"/>
    <w:rsid w:val="00204356"/>
    <w:rsid w:val="002044BB"/>
    <w:rsid w:val="00210B09"/>
    <w:rsid w:val="00210C9E"/>
    <w:rsid w:val="00211840"/>
    <w:rsid w:val="00212EC5"/>
    <w:rsid w:val="0021717C"/>
    <w:rsid w:val="00220C2E"/>
    <w:rsid w:val="00220E5F"/>
    <w:rsid w:val="002212B5"/>
    <w:rsid w:val="00221FA3"/>
    <w:rsid w:val="00224F8D"/>
    <w:rsid w:val="00226668"/>
    <w:rsid w:val="00227F0E"/>
    <w:rsid w:val="00230517"/>
    <w:rsid w:val="00233809"/>
    <w:rsid w:val="00234FDB"/>
    <w:rsid w:val="0023742E"/>
    <w:rsid w:val="00240046"/>
    <w:rsid w:val="002418D0"/>
    <w:rsid w:val="00243F98"/>
    <w:rsid w:val="002455D4"/>
    <w:rsid w:val="002470CE"/>
    <w:rsid w:val="0024797F"/>
    <w:rsid w:val="0025119E"/>
    <w:rsid w:val="00251269"/>
    <w:rsid w:val="00252C5B"/>
    <w:rsid w:val="0025351E"/>
    <w:rsid w:val="002535C0"/>
    <w:rsid w:val="00254A8C"/>
    <w:rsid w:val="002579FE"/>
    <w:rsid w:val="002607C1"/>
    <w:rsid w:val="0026311C"/>
    <w:rsid w:val="00263C57"/>
    <w:rsid w:val="002649F3"/>
    <w:rsid w:val="0026668C"/>
    <w:rsid w:val="00266AC1"/>
    <w:rsid w:val="00267115"/>
    <w:rsid w:val="002708BA"/>
    <w:rsid w:val="00271727"/>
    <w:rsid w:val="0027178C"/>
    <w:rsid w:val="002719FA"/>
    <w:rsid w:val="00272668"/>
    <w:rsid w:val="0027330B"/>
    <w:rsid w:val="0027527D"/>
    <w:rsid w:val="00275923"/>
    <w:rsid w:val="002803AD"/>
    <w:rsid w:val="00282052"/>
    <w:rsid w:val="0028207C"/>
    <w:rsid w:val="002831A3"/>
    <w:rsid w:val="0028519E"/>
    <w:rsid w:val="002856A5"/>
    <w:rsid w:val="0028606E"/>
    <w:rsid w:val="00286F2E"/>
    <w:rsid w:val="002872ED"/>
    <w:rsid w:val="0028793F"/>
    <w:rsid w:val="00287AB3"/>
    <w:rsid w:val="002905C2"/>
    <w:rsid w:val="002942BC"/>
    <w:rsid w:val="00295AF2"/>
    <w:rsid w:val="00295C91"/>
    <w:rsid w:val="00297151"/>
    <w:rsid w:val="0029AFC4"/>
    <w:rsid w:val="002A2EDB"/>
    <w:rsid w:val="002A64E7"/>
    <w:rsid w:val="002B146E"/>
    <w:rsid w:val="002B20E6"/>
    <w:rsid w:val="002B22DB"/>
    <w:rsid w:val="002B3825"/>
    <w:rsid w:val="002B42A3"/>
    <w:rsid w:val="002B45B9"/>
    <w:rsid w:val="002C0030"/>
    <w:rsid w:val="002C0CDD"/>
    <w:rsid w:val="002C2221"/>
    <w:rsid w:val="002C2461"/>
    <w:rsid w:val="002C2ADE"/>
    <w:rsid w:val="002C38C4"/>
    <w:rsid w:val="002D002B"/>
    <w:rsid w:val="002D659A"/>
    <w:rsid w:val="002D69D6"/>
    <w:rsid w:val="002E0F14"/>
    <w:rsid w:val="002E1A1D"/>
    <w:rsid w:val="002E31AA"/>
    <w:rsid w:val="002E4081"/>
    <w:rsid w:val="002E5B78"/>
    <w:rsid w:val="002F32E4"/>
    <w:rsid w:val="002F3AE3"/>
    <w:rsid w:val="0030025D"/>
    <w:rsid w:val="0030464B"/>
    <w:rsid w:val="0030786C"/>
    <w:rsid w:val="00316312"/>
    <w:rsid w:val="00316803"/>
    <w:rsid w:val="00316BC8"/>
    <w:rsid w:val="003233DE"/>
    <w:rsid w:val="0032466B"/>
    <w:rsid w:val="003330EB"/>
    <w:rsid w:val="003363F6"/>
    <w:rsid w:val="003415FD"/>
    <w:rsid w:val="00341B48"/>
    <w:rsid w:val="0034249D"/>
    <w:rsid w:val="003429F0"/>
    <w:rsid w:val="00343581"/>
    <w:rsid w:val="003453B2"/>
    <w:rsid w:val="00345A82"/>
    <w:rsid w:val="0035097A"/>
    <w:rsid w:val="00351483"/>
    <w:rsid w:val="00353084"/>
    <w:rsid w:val="003540A4"/>
    <w:rsid w:val="00356B77"/>
    <w:rsid w:val="00357BCC"/>
    <w:rsid w:val="00360E4E"/>
    <w:rsid w:val="00367002"/>
    <w:rsid w:val="003705EB"/>
    <w:rsid w:val="0037097E"/>
    <w:rsid w:val="00370AAA"/>
    <w:rsid w:val="00373CFB"/>
    <w:rsid w:val="00375F77"/>
    <w:rsid w:val="00377B83"/>
    <w:rsid w:val="00381BBE"/>
    <w:rsid w:val="00382903"/>
    <w:rsid w:val="003843E1"/>
    <w:rsid w:val="003846FF"/>
    <w:rsid w:val="0038480F"/>
    <w:rsid w:val="003857D4"/>
    <w:rsid w:val="00385AD4"/>
    <w:rsid w:val="00387924"/>
    <w:rsid w:val="003914FB"/>
    <w:rsid w:val="00393393"/>
    <w:rsid w:val="00393552"/>
    <w:rsid w:val="0039384D"/>
    <w:rsid w:val="00393CC8"/>
    <w:rsid w:val="00395971"/>
    <w:rsid w:val="00395C23"/>
    <w:rsid w:val="00395C85"/>
    <w:rsid w:val="003A2E4F"/>
    <w:rsid w:val="003A4438"/>
    <w:rsid w:val="003A5013"/>
    <w:rsid w:val="003A5078"/>
    <w:rsid w:val="003A52C6"/>
    <w:rsid w:val="003A62DD"/>
    <w:rsid w:val="003A775A"/>
    <w:rsid w:val="003B213A"/>
    <w:rsid w:val="003B2AAF"/>
    <w:rsid w:val="003B43AD"/>
    <w:rsid w:val="003C065B"/>
    <w:rsid w:val="003C0FEC"/>
    <w:rsid w:val="003C11AF"/>
    <w:rsid w:val="003C1FAD"/>
    <w:rsid w:val="003C2AC8"/>
    <w:rsid w:val="003C2C50"/>
    <w:rsid w:val="003C536A"/>
    <w:rsid w:val="003C59AB"/>
    <w:rsid w:val="003C5E49"/>
    <w:rsid w:val="003D033A"/>
    <w:rsid w:val="003D09A3"/>
    <w:rsid w:val="003D17F9"/>
    <w:rsid w:val="003D2D88"/>
    <w:rsid w:val="003D3C06"/>
    <w:rsid w:val="003D41EA"/>
    <w:rsid w:val="003D4850"/>
    <w:rsid w:val="003D535A"/>
    <w:rsid w:val="003D691A"/>
    <w:rsid w:val="003D717C"/>
    <w:rsid w:val="003E1DA2"/>
    <w:rsid w:val="003E454A"/>
    <w:rsid w:val="003E5265"/>
    <w:rsid w:val="003F0955"/>
    <w:rsid w:val="003F1253"/>
    <w:rsid w:val="003F12E0"/>
    <w:rsid w:val="003F1AC0"/>
    <w:rsid w:val="003F2DC8"/>
    <w:rsid w:val="003F5C1F"/>
    <w:rsid w:val="003F5F4D"/>
    <w:rsid w:val="003F646F"/>
    <w:rsid w:val="00400656"/>
    <w:rsid w:val="00400F00"/>
    <w:rsid w:val="00402753"/>
    <w:rsid w:val="00404123"/>
    <w:rsid w:val="00404F8B"/>
    <w:rsid w:val="00405256"/>
    <w:rsid w:val="00410031"/>
    <w:rsid w:val="00410CCD"/>
    <w:rsid w:val="004120BB"/>
    <w:rsid w:val="0041258B"/>
    <w:rsid w:val="00415571"/>
    <w:rsid w:val="00415C81"/>
    <w:rsid w:val="00423337"/>
    <w:rsid w:val="00425101"/>
    <w:rsid w:val="0042779D"/>
    <w:rsid w:val="00430133"/>
    <w:rsid w:val="00430D1A"/>
    <w:rsid w:val="00430E68"/>
    <w:rsid w:val="00431D0F"/>
    <w:rsid w:val="00432378"/>
    <w:rsid w:val="0043246A"/>
    <w:rsid w:val="004340FA"/>
    <w:rsid w:val="0043582D"/>
    <w:rsid w:val="00435CF9"/>
    <w:rsid w:val="00436110"/>
    <w:rsid w:val="004364EE"/>
    <w:rsid w:val="00440D65"/>
    <w:rsid w:val="004435E6"/>
    <w:rsid w:val="004459FA"/>
    <w:rsid w:val="00446517"/>
    <w:rsid w:val="00447E31"/>
    <w:rsid w:val="00453361"/>
    <w:rsid w:val="00453923"/>
    <w:rsid w:val="00453AEE"/>
    <w:rsid w:val="0045493A"/>
    <w:rsid w:val="00454A40"/>
    <w:rsid w:val="00454B65"/>
    <w:rsid w:val="00454B9B"/>
    <w:rsid w:val="00457858"/>
    <w:rsid w:val="004600A2"/>
    <w:rsid w:val="004601A2"/>
    <w:rsid w:val="00460B0B"/>
    <w:rsid w:val="00461023"/>
    <w:rsid w:val="00462FAC"/>
    <w:rsid w:val="00463197"/>
    <w:rsid w:val="00463F01"/>
    <w:rsid w:val="00464631"/>
    <w:rsid w:val="00464B79"/>
    <w:rsid w:val="00464E63"/>
    <w:rsid w:val="004651BB"/>
    <w:rsid w:val="0046774E"/>
    <w:rsid w:val="00467BBF"/>
    <w:rsid w:val="004709A8"/>
    <w:rsid w:val="00471893"/>
    <w:rsid w:val="00471D14"/>
    <w:rsid w:val="00471EE6"/>
    <w:rsid w:val="00473982"/>
    <w:rsid w:val="00474EBF"/>
    <w:rsid w:val="00476509"/>
    <w:rsid w:val="0048435E"/>
    <w:rsid w:val="004844A7"/>
    <w:rsid w:val="0048593C"/>
    <w:rsid w:val="004867E2"/>
    <w:rsid w:val="004900EA"/>
    <w:rsid w:val="004929A9"/>
    <w:rsid w:val="00493272"/>
    <w:rsid w:val="004A0A37"/>
    <w:rsid w:val="004A2795"/>
    <w:rsid w:val="004A2A01"/>
    <w:rsid w:val="004A309A"/>
    <w:rsid w:val="004A3DCD"/>
    <w:rsid w:val="004A4545"/>
    <w:rsid w:val="004A66E2"/>
    <w:rsid w:val="004A78D9"/>
    <w:rsid w:val="004A7B46"/>
    <w:rsid w:val="004B0261"/>
    <w:rsid w:val="004B0948"/>
    <w:rsid w:val="004B79FA"/>
    <w:rsid w:val="004C0B96"/>
    <w:rsid w:val="004C2E57"/>
    <w:rsid w:val="004C3E18"/>
    <w:rsid w:val="004C5481"/>
    <w:rsid w:val="004C5C07"/>
    <w:rsid w:val="004C6BCF"/>
    <w:rsid w:val="004C780E"/>
    <w:rsid w:val="004D033B"/>
    <w:rsid w:val="004D2273"/>
    <w:rsid w:val="004D58BF"/>
    <w:rsid w:val="004D796C"/>
    <w:rsid w:val="004E1815"/>
    <w:rsid w:val="004E3F55"/>
    <w:rsid w:val="004E4335"/>
    <w:rsid w:val="004E4524"/>
    <w:rsid w:val="004E4F0F"/>
    <w:rsid w:val="004E7AAE"/>
    <w:rsid w:val="004F13EE"/>
    <w:rsid w:val="004F2022"/>
    <w:rsid w:val="004F2981"/>
    <w:rsid w:val="004F7C05"/>
    <w:rsid w:val="00501C94"/>
    <w:rsid w:val="005061C4"/>
    <w:rsid w:val="00506432"/>
    <w:rsid w:val="00506E82"/>
    <w:rsid w:val="00511AAF"/>
    <w:rsid w:val="00516235"/>
    <w:rsid w:val="0052051D"/>
    <w:rsid w:val="005216BF"/>
    <w:rsid w:val="00521F49"/>
    <w:rsid w:val="00522CEB"/>
    <w:rsid w:val="0052697E"/>
    <w:rsid w:val="0053113B"/>
    <w:rsid w:val="005339A1"/>
    <w:rsid w:val="005379E3"/>
    <w:rsid w:val="00540FE4"/>
    <w:rsid w:val="005421C9"/>
    <w:rsid w:val="005428B4"/>
    <w:rsid w:val="00542CBC"/>
    <w:rsid w:val="00542EC2"/>
    <w:rsid w:val="00545EE6"/>
    <w:rsid w:val="005519DE"/>
    <w:rsid w:val="005524AC"/>
    <w:rsid w:val="00553AEA"/>
    <w:rsid w:val="005550E7"/>
    <w:rsid w:val="005551FA"/>
    <w:rsid w:val="005564FB"/>
    <w:rsid w:val="005572C7"/>
    <w:rsid w:val="0056275B"/>
    <w:rsid w:val="00563DCB"/>
    <w:rsid w:val="005650ED"/>
    <w:rsid w:val="005669AB"/>
    <w:rsid w:val="005673CA"/>
    <w:rsid w:val="00570B19"/>
    <w:rsid w:val="00573165"/>
    <w:rsid w:val="005756AB"/>
    <w:rsid w:val="00575754"/>
    <w:rsid w:val="00577F88"/>
    <w:rsid w:val="00581FBA"/>
    <w:rsid w:val="00586973"/>
    <w:rsid w:val="00591E20"/>
    <w:rsid w:val="00592C06"/>
    <w:rsid w:val="0059429F"/>
    <w:rsid w:val="00595408"/>
    <w:rsid w:val="00595E84"/>
    <w:rsid w:val="00597041"/>
    <w:rsid w:val="00597A46"/>
    <w:rsid w:val="005A07F0"/>
    <w:rsid w:val="005A0C59"/>
    <w:rsid w:val="005A48EB"/>
    <w:rsid w:val="005A6CFB"/>
    <w:rsid w:val="005B0094"/>
    <w:rsid w:val="005B1E0D"/>
    <w:rsid w:val="005B1F80"/>
    <w:rsid w:val="005B1FFF"/>
    <w:rsid w:val="005B25F3"/>
    <w:rsid w:val="005B4097"/>
    <w:rsid w:val="005B555A"/>
    <w:rsid w:val="005B6BB6"/>
    <w:rsid w:val="005C0860"/>
    <w:rsid w:val="005C5AEB"/>
    <w:rsid w:val="005C5EF5"/>
    <w:rsid w:val="005D2062"/>
    <w:rsid w:val="005D2FA7"/>
    <w:rsid w:val="005D4778"/>
    <w:rsid w:val="005D53E0"/>
    <w:rsid w:val="005D56CB"/>
    <w:rsid w:val="005D6172"/>
    <w:rsid w:val="005D7832"/>
    <w:rsid w:val="005E0A3F"/>
    <w:rsid w:val="005E2F2A"/>
    <w:rsid w:val="005E3754"/>
    <w:rsid w:val="005E3DC0"/>
    <w:rsid w:val="005E523F"/>
    <w:rsid w:val="005E6883"/>
    <w:rsid w:val="005E772F"/>
    <w:rsid w:val="005F0858"/>
    <w:rsid w:val="005F1ADB"/>
    <w:rsid w:val="005F4562"/>
    <w:rsid w:val="005F4E45"/>
    <w:rsid w:val="005F4ECA"/>
    <w:rsid w:val="005F5173"/>
    <w:rsid w:val="006001CA"/>
    <w:rsid w:val="00602C62"/>
    <w:rsid w:val="006035B6"/>
    <w:rsid w:val="006041BE"/>
    <w:rsid w:val="006042C6"/>
    <w:rsid w:val="006043C7"/>
    <w:rsid w:val="00610AF1"/>
    <w:rsid w:val="00611D49"/>
    <w:rsid w:val="006206A6"/>
    <w:rsid w:val="006206BE"/>
    <w:rsid w:val="00620C69"/>
    <w:rsid w:val="006213B4"/>
    <w:rsid w:val="006230CE"/>
    <w:rsid w:val="0062429D"/>
    <w:rsid w:val="00624B52"/>
    <w:rsid w:val="00630794"/>
    <w:rsid w:val="00630EC9"/>
    <w:rsid w:val="00631DF4"/>
    <w:rsid w:val="00634175"/>
    <w:rsid w:val="006347D8"/>
    <w:rsid w:val="00636C9B"/>
    <w:rsid w:val="00640339"/>
    <w:rsid w:val="00640451"/>
    <w:rsid w:val="006408AC"/>
    <w:rsid w:val="00646184"/>
    <w:rsid w:val="0064621B"/>
    <w:rsid w:val="00646321"/>
    <w:rsid w:val="00646F1E"/>
    <w:rsid w:val="006511B6"/>
    <w:rsid w:val="006513AF"/>
    <w:rsid w:val="006567A1"/>
    <w:rsid w:val="00657FF8"/>
    <w:rsid w:val="00662343"/>
    <w:rsid w:val="00663AC5"/>
    <w:rsid w:val="00665977"/>
    <w:rsid w:val="00670CCA"/>
    <w:rsid w:val="00670D99"/>
    <w:rsid w:val="00670E2B"/>
    <w:rsid w:val="00672AE4"/>
    <w:rsid w:val="006734BB"/>
    <w:rsid w:val="006753DA"/>
    <w:rsid w:val="00675650"/>
    <w:rsid w:val="00675E9B"/>
    <w:rsid w:val="0067697A"/>
    <w:rsid w:val="006770B1"/>
    <w:rsid w:val="006821EB"/>
    <w:rsid w:val="00682C52"/>
    <w:rsid w:val="00685842"/>
    <w:rsid w:val="00686E57"/>
    <w:rsid w:val="0069129C"/>
    <w:rsid w:val="006965FE"/>
    <w:rsid w:val="006A0B1B"/>
    <w:rsid w:val="006A2F23"/>
    <w:rsid w:val="006B2286"/>
    <w:rsid w:val="006B33B5"/>
    <w:rsid w:val="006B4077"/>
    <w:rsid w:val="006B4DA4"/>
    <w:rsid w:val="006B512B"/>
    <w:rsid w:val="006B56BB"/>
    <w:rsid w:val="006B6BF1"/>
    <w:rsid w:val="006B719C"/>
    <w:rsid w:val="006B76AF"/>
    <w:rsid w:val="006C0031"/>
    <w:rsid w:val="006C11FB"/>
    <w:rsid w:val="006C67E7"/>
    <w:rsid w:val="006C77A8"/>
    <w:rsid w:val="006D4098"/>
    <w:rsid w:val="006D5787"/>
    <w:rsid w:val="006D7681"/>
    <w:rsid w:val="006D7743"/>
    <w:rsid w:val="006D7B2E"/>
    <w:rsid w:val="006D7B7A"/>
    <w:rsid w:val="006E02EA"/>
    <w:rsid w:val="006E0968"/>
    <w:rsid w:val="006E2AF6"/>
    <w:rsid w:val="006E2C92"/>
    <w:rsid w:val="006E3A19"/>
    <w:rsid w:val="006E68C3"/>
    <w:rsid w:val="006E76B7"/>
    <w:rsid w:val="006F1B8F"/>
    <w:rsid w:val="006F7EA4"/>
    <w:rsid w:val="00701275"/>
    <w:rsid w:val="0070412A"/>
    <w:rsid w:val="00706962"/>
    <w:rsid w:val="00707F56"/>
    <w:rsid w:val="00710BC9"/>
    <w:rsid w:val="007130B2"/>
    <w:rsid w:val="00713558"/>
    <w:rsid w:val="00714926"/>
    <w:rsid w:val="00720D08"/>
    <w:rsid w:val="007218C4"/>
    <w:rsid w:val="007219AF"/>
    <w:rsid w:val="00722B95"/>
    <w:rsid w:val="00724E75"/>
    <w:rsid w:val="00725314"/>
    <w:rsid w:val="007263B9"/>
    <w:rsid w:val="007334F8"/>
    <w:rsid w:val="007339CD"/>
    <w:rsid w:val="007357BA"/>
    <w:rsid w:val="007359D8"/>
    <w:rsid w:val="00735C8D"/>
    <w:rsid w:val="007362D4"/>
    <w:rsid w:val="007371F6"/>
    <w:rsid w:val="00737399"/>
    <w:rsid w:val="007410EA"/>
    <w:rsid w:val="00741CB3"/>
    <w:rsid w:val="007429CC"/>
    <w:rsid w:val="00744AA5"/>
    <w:rsid w:val="00751F77"/>
    <w:rsid w:val="00756443"/>
    <w:rsid w:val="007604E2"/>
    <w:rsid w:val="0076265B"/>
    <w:rsid w:val="00762EC0"/>
    <w:rsid w:val="00763A15"/>
    <w:rsid w:val="0076558C"/>
    <w:rsid w:val="0076672A"/>
    <w:rsid w:val="00767273"/>
    <w:rsid w:val="00774E01"/>
    <w:rsid w:val="00775354"/>
    <w:rsid w:val="00775E45"/>
    <w:rsid w:val="00776E74"/>
    <w:rsid w:val="00782E1F"/>
    <w:rsid w:val="00785169"/>
    <w:rsid w:val="007868BA"/>
    <w:rsid w:val="00791EEC"/>
    <w:rsid w:val="00794198"/>
    <w:rsid w:val="00794E77"/>
    <w:rsid w:val="007954AB"/>
    <w:rsid w:val="007A0C5C"/>
    <w:rsid w:val="007A14C5"/>
    <w:rsid w:val="007A31EE"/>
    <w:rsid w:val="007A4A10"/>
    <w:rsid w:val="007A4B36"/>
    <w:rsid w:val="007B12A8"/>
    <w:rsid w:val="007B1760"/>
    <w:rsid w:val="007B5473"/>
    <w:rsid w:val="007B555A"/>
    <w:rsid w:val="007B5F9A"/>
    <w:rsid w:val="007B7408"/>
    <w:rsid w:val="007C08EF"/>
    <w:rsid w:val="007C1614"/>
    <w:rsid w:val="007C1FDC"/>
    <w:rsid w:val="007C63E9"/>
    <w:rsid w:val="007C697C"/>
    <w:rsid w:val="007C6D9C"/>
    <w:rsid w:val="007C7DDB"/>
    <w:rsid w:val="007D0EEB"/>
    <w:rsid w:val="007D2CC7"/>
    <w:rsid w:val="007D4032"/>
    <w:rsid w:val="007D673D"/>
    <w:rsid w:val="007E0FB8"/>
    <w:rsid w:val="007E2494"/>
    <w:rsid w:val="007E2B8D"/>
    <w:rsid w:val="007E4D09"/>
    <w:rsid w:val="007E548F"/>
    <w:rsid w:val="007E7440"/>
    <w:rsid w:val="007E7E06"/>
    <w:rsid w:val="007F2220"/>
    <w:rsid w:val="007F24D6"/>
    <w:rsid w:val="007F4A84"/>
    <w:rsid w:val="007F4B3E"/>
    <w:rsid w:val="00802B6F"/>
    <w:rsid w:val="00803412"/>
    <w:rsid w:val="008035F1"/>
    <w:rsid w:val="00803DB7"/>
    <w:rsid w:val="00805444"/>
    <w:rsid w:val="0080768D"/>
    <w:rsid w:val="00807779"/>
    <w:rsid w:val="00810A0C"/>
    <w:rsid w:val="008118E0"/>
    <w:rsid w:val="008127AF"/>
    <w:rsid w:val="00812ABA"/>
    <w:rsid w:val="00812B46"/>
    <w:rsid w:val="00813252"/>
    <w:rsid w:val="00814B00"/>
    <w:rsid w:val="00815700"/>
    <w:rsid w:val="00815A13"/>
    <w:rsid w:val="00816F0C"/>
    <w:rsid w:val="008203A4"/>
    <w:rsid w:val="00824595"/>
    <w:rsid w:val="0082483F"/>
    <w:rsid w:val="008264EB"/>
    <w:rsid w:val="00826B8F"/>
    <w:rsid w:val="00827068"/>
    <w:rsid w:val="0083057F"/>
    <w:rsid w:val="00831E8A"/>
    <w:rsid w:val="00835C76"/>
    <w:rsid w:val="00836925"/>
    <w:rsid w:val="00836E43"/>
    <w:rsid w:val="008376E2"/>
    <w:rsid w:val="00843049"/>
    <w:rsid w:val="00843632"/>
    <w:rsid w:val="00851068"/>
    <w:rsid w:val="0085209B"/>
    <w:rsid w:val="008565ED"/>
    <w:rsid w:val="00856B66"/>
    <w:rsid w:val="008601AC"/>
    <w:rsid w:val="00861A5F"/>
    <w:rsid w:val="008644AD"/>
    <w:rsid w:val="00865735"/>
    <w:rsid w:val="00865DDB"/>
    <w:rsid w:val="00867538"/>
    <w:rsid w:val="00867897"/>
    <w:rsid w:val="008705A3"/>
    <w:rsid w:val="0087270D"/>
    <w:rsid w:val="00872A5A"/>
    <w:rsid w:val="00872ABB"/>
    <w:rsid w:val="00873D90"/>
    <w:rsid w:val="00873FC8"/>
    <w:rsid w:val="00875263"/>
    <w:rsid w:val="00880237"/>
    <w:rsid w:val="0088184E"/>
    <w:rsid w:val="00884C63"/>
    <w:rsid w:val="00885908"/>
    <w:rsid w:val="008864B7"/>
    <w:rsid w:val="00886AF0"/>
    <w:rsid w:val="00887DC1"/>
    <w:rsid w:val="00890170"/>
    <w:rsid w:val="0089017E"/>
    <w:rsid w:val="0089270F"/>
    <w:rsid w:val="00892F47"/>
    <w:rsid w:val="00895BEF"/>
    <w:rsid w:val="0089677E"/>
    <w:rsid w:val="008A2703"/>
    <w:rsid w:val="008A29CA"/>
    <w:rsid w:val="008A3259"/>
    <w:rsid w:val="008A59A8"/>
    <w:rsid w:val="008A7438"/>
    <w:rsid w:val="008B0C9F"/>
    <w:rsid w:val="008B1334"/>
    <w:rsid w:val="008B1418"/>
    <w:rsid w:val="008B1EBE"/>
    <w:rsid w:val="008B25C7"/>
    <w:rsid w:val="008B3A51"/>
    <w:rsid w:val="008B3E38"/>
    <w:rsid w:val="008B6E23"/>
    <w:rsid w:val="008B76CB"/>
    <w:rsid w:val="008C0278"/>
    <w:rsid w:val="008C102A"/>
    <w:rsid w:val="008C173D"/>
    <w:rsid w:val="008C216B"/>
    <w:rsid w:val="008C24E9"/>
    <w:rsid w:val="008C53F2"/>
    <w:rsid w:val="008D0533"/>
    <w:rsid w:val="008D15BB"/>
    <w:rsid w:val="008D15E8"/>
    <w:rsid w:val="008D3347"/>
    <w:rsid w:val="008D42CB"/>
    <w:rsid w:val="008D48C9"/>
    <w:rsid w:val="008D6381"/>
    <w:rsid w:val="008E0107"/>
    <w:rsid w:val="008E0C77"/>
    <w:rsid w:val="008E5B35"/>
    <w:rsid w:val="008E625F"/>
    <w:rsid w:val="008E7B32"/>
    <w:rsid w:val="008F1CB5"/>
    <w:rsid w:val="008F264D"/>
    <w:rsid w:val="008F2C69"/>
    <w:rsid w:val="008F3303"/>
    <w:rsid w:val="008F4F3C"/>
    <w:rsid w:val="008F4F5F"/>
    <w:rsid w:val="008F7358"/>
    <w:rsid w:val="0090002A"/>
    <w:rsid w:val="009027B2"/>
    <w:rsid w:val="00902E4B"/>
    <w:rsid w:val="009032EF"/>
    <w:rsid w:val="009040E9"/>
    <w:rsid w:val="00904C46"/>
    <w:rsid w:val="00905CA5"/>
    <w:rsid w:val="00906126"/>
    <w:rsid w:val="009074E1"/>
    <w:rsid w:val="009112F7"/>
    <w:rsid w:val="009122AF"/>
    <w:rsid w:val="00912D54"/>
    <w:rsid w:val="00913118"/>
    <w:rsid w:val="0091389F"/>
    <w:rsid w:val="00915A03"/>
    <w:rsid w:val="009208F7"/>
    <w:rsid w:val="00920CBB"/>
    <w:rsid w:val="00921649"/>
    <w:rsid w:val="0092185D"/>
    <w:rsid w:val="00922517"/>
    <w:rsid w:val="00922722"/>
    <w:rsid w:val="00923C2B"/>
    <w:rsid w:val="009261E6"/>
    <w:rsid w:val="0092656F"/>
    <w:rsid w:val="009268E1"/>
    <w:rsid w:val="00927039"/>
    <w:rsid w:val="009271EE"/>
    <w:rsid w:val="00927A4C"/>
    <w:rsid w:val="00930EC0"/>
    <w:rsid w:val="00932DF0"/>
    <w:rsid w:val="00933FCD"/>
    <w:rsid w:val="009344AE"/>
    <w:rsid w:val="009344DE"/>
    <w:rsid w:val="0093515F"/>
    <w:rsid w:val="009373E4"/>
    <w:rsid w:val="00942E6D"/>
    <w:rsid w:val="00943A9D"/>
    <w:rsid w:val="009455EB"/>
    <w:rsid w:val="00945E7F"/>
    <w:rsid w:val="00946682"/>
    <w:rsid w:val="009557C1"/>
    <w:rsid w:val="00955C62"/>
    <w:rsid w:val="00957D63"/>
    <w:rsid w:val="00960D6E"/>
    <w:rsid w:val="009619E5"/>
    <w:rsid w:val="00964635"/>
    <w:rsid w:val="00966638"/>
    <w:rsid w:val="00974B59"/>
    <w:rsid w:val="00975276"/>
    <w:rsid w:val="00976480"/>
    <w:rsid w:val="00976DA9"/>
    <w:rsid w:val="00977B8D"/>
    <w:rsid w:val="00982C7E"/>
    <w:rsid w:val="0098340B"/>
    <w:rsid w:val="00984275"/>
    <w:rsid w:val="0098460B"/>
    <w:rsid w:val="00986830"/>
    <w:rsid w:val="00987088"/>
    <w:rsid w:val="00987CE2"/>
    <w:rsid w:val="00987FE1"/>
    <w:rsid w:val="00991AC5"/>
    <w:rsid w:val="009924C3"/>
    <w:rsid w:val="00993102"/>
    <w:rsid w:val="00993E1B"/>
    <w:rsid w:val="009A6444"/>
    <w:rsid w:val="009A6B60"/>
    <w:rsid w:val="009B1570"/>
    <w:rsid w:val="009B3138"/>
    <w:rsid w:val="009B457C"/>
    <w:rsid w:val="009B4967"/>
    <w:rsid w:val="009C5AA4"/>
    <w:rsid w:val="009C6F10"/>
    <w:rsid w:val="009D0EF7"/>
    <w:rsid w:val="009D148F"/>
    <w:rsid w:val="009D24D2"/>
    <w:rsid w:val="009D3D70"/>
    <w:rsid w:val="009D682E"/>
    <w:rsid w:val="009D6E31"/>
    <w:rsid w:val="009E2BB0"/>
    <w:rsid w:val="009E6F7E"/>
    <w:rsid w:val="009E7A57"/>
    <w:rsid w:val="009F1DB7"/>
    <w:rsid w:val="009F39C3"/>
    <w:rsid w:val="009F4803"/>
    <w:rsid w:val="009F4F6A"/>
    <w:rsid w:val="009F76B8"/>
    <w:rsid w:val="00A0230A"/>
    <w:rsid w:val="00A139D5"/>
    <w:rsid w:val="00A13EB5"/>
    <w:rsid w:val="00A16E36"/>
    <w:rsid w:val="00A24961"/>
    <w:rsid w:val="00A24B10"/>
    <w:rsid w:val="00A277EF"/>
    <w:rsid w:val="00A30E9B"/>
    <w:rsid w:val="00A35CA9"/>
    <w:rsid w:val="00A4479D"/>
    <w:rsid w:val="00A4512D"/>
    <w:rsid w:val="00A50244"/>
    <w:rsid w:val="00A5481C"/>
    <w:rsid w:val="00A54EA4"/>
    <w:rsid w:val="00A55566"/>
    <w:rsid w:val="00A5610E"/>
    <w:rsid w:val="00A62036"/>
    <w:rsid w:val="00A627D7"/>
    <w:rsid w:val="00A656C7"/>
    <w:rsid w:val="00A65DA6"/>
    <w:rsid w:val="00A705AF"/>
    <w:rsid w:val="00A719F6"/>
    <w:rsid w:val="00A72454"/>
    <w:rsid w:val="00A738A7"/>
    <w:rsid w:val="00A7482A"/>
    <w:rsid w:val="00A75163"/>
    <w:rsid w:val="00A75FAE"/>
    <w:rsid w:val="00A7603F"/>
    <w:rsid w:val="00A766EC"/>
    <w:rsid w:val="00A77696"/>
    <w:rsid w:val="00A77FA4"/>
    <w:rsid w:val="00A80406"/>
    <w:rsid w:val="00A80557"/>
    <w:rsid w:val="00A81CE0"/>
    <w:rsid w:val="00A81D33"/>
    <w:rsid w:val="00A8213D"/>
    <w:rsid w:val="00A82602"/>
    <w:rsid w:val="00A8341C"/>
    <w:rsid w:val="00A8439E"/>
    <w:rsid w:val="00A86A7C"/>
    <w:rsid w:val="00A930AE"/>
    <w:rsid w:val="00A93C47"/>
    <w:rsid w:val="00A953F2"/>
    <w:rsid w:val="00A9581E"/>
    <w:rsid w:val="00AA1A95"/>
    <w:rsid w:val="00AA260F"/>
    <w:rsid w:val="00AA262B"/>
    <w:rsid w:val="00AA7C58"/>
    <w:rsid w:val="00AB1EE7"/>
    <w:rsid w:val="00AB476C"/>
    <w:rsid w:val="00AB4B37"/>
    <w:rsid w:val="00AB5762"/>
    <w:rsid w:val="00AB5D5C"/>
    <w:rsid w:val="00AB6DFC"/>
    <w:rsid w:val="00AB79C7"/>
    <w:rsid w:val="00AC2679"/>
    <w:rsid w:val="00AC406B"/>
    <w:rsid w:val="00AC4BE4"/>
    <w:rsid w:val="00AC606A"/>
    <w:rsid w:val="00AC7427"/>
    <w:rsid w:val="00AD05E6"/>
    <w:rsid w:val="00AD0CB2"/>
    <w:rsid w:val="00AD0D3F"/>
    <w:rsid w:val="00AD109F"/>
    <w:rsid w:val="00AD3CDC"/>
    <w:rsid w:val="00AD4390"/>
    <w:rsid w:val="00AD6806"/>
    <w:rsid w:val="00AE0EAE"/>
    <w:rsid w:val="00AE1D7D"/>
    <w:rsid w:val="00AE2A8B"/>
    <w:rsid w:val="00AE3F64"/>
    <w:rsid w:val="00AE4BD5"/>
    <w:rsid w:val="00AE69EE"/>
    <w:rsid w:val="00AF3B31"/>
    <w:rsid w:val="00AF4C71"/>
    <w:rsid w:val="00AF65E3"/>
    <w:rsid w:val="00AF7386"/>
    <w:rsid w:val="00AF78C8"/>
    <w:rsid w:val="00AF7934"/>
    <w:rsid w:val="00B008B4"/>
    <w:rsid w:val="00B00B81"/>
    <w:rsid w:val="00B01655"/>
    <w:rsid w:val="00B0338F"/>
    <w:rsid w:val="00B035F8"/>
    <w:rsid w:val="00B04580"/>
    <w:rsid w:val="00B04B09"/>
    <w:rsid w:val="00B06F63"/>
    <w:rsid w:val="00B07D31"/>
    <w:rsid w:val="00B11F46"/>
    <w:rsid w:val="00B13796"/>
    <w:rsid w:val="00B16A51"/>
    <w:rsid w:val="00B20779"/>
    <w:rsid w:val="00B21201"/>
    <w:rsid w:val="00B2347F"/>
    <w:rsid w:val="00B234B3"/>
    <w:rsid w:val="00B23964"/>
    <w:rsid w:val="00B23BB8"/>
    <w:rsid w:val="00B32222"/>
    <w:rsid w:val="00B33211"/>
    <w:rsid w:val="00B34003"/>
    <w:rsid w:val="00B34858"/>
    <w:rsid w:val="00B34D7D"/>
    <w:rsid w:val="00B35667"/>
    <w:rsid w:val="00B3618D"/>
    <w:rsid w:val="00B36233"/>
    <w:rsid w:val="00B42851"/>
    <w:rsid w:val="00B43C4B"/>
    <w:rsid w:val="00B45AC7"/>
    <w:rsid w:val="00B45B2E"/>
    <w:rsid w:val="00B45DD7"/>
    <w:rsid w:val="00B5372F"/>
    <w:rsid w:val="00B53987"/>
    <w:rsid w:val="00B55E54"/>
    <w:rsid w:val="00B61129"/>
    <w:rsid w:val="00B63400"/>
    <w:rsid w:val="00B66536"/>
    <w:rsid w:val="00B67E7F"/>
    <w:rsid w:val="00B72C6D"/>
    <w:rsid w:val="00B73A0F"/>
    <w:rsid w:val="00B7494E"/>
    <w:rsid w:val="00B773B1"/>
    <w:rsid w:val="00B839B2"/>
    <w:rsid w:val="00B8676D"/>
    <w:rsid w:val="00B9085A"/>
    <w:rsid w:val="00B90EE8"/>
    <w:rsid w:val="00B925A6"/>
    <w:rsid w:val="00B92B72"/>
    <w:rsid w:val="00B94252"/>
    <w:rsid w:val="00B94EC9"/>
    <w:rsid w:val="00B9522A"/>
    <w:rsid w:val="00B9614B"/>
    <w:rsid w:val="00B9715A"/>
    <w:rsid w:val="00B97F0E"/>
    <w:rsid w:val="00BA0BD8"/>
    <w:rsid w:val="00BA14BE"/>
    <w:rsid w:val="00BA1B4D"/>
    <w:rsid w:val="00BA1EC1"/>
    <w:rsid w:val="00BA251A"/>
    <w:rsid w:val="00BA2732"/>
    <w:rsid w:val="00BA293D"/>
    <w:rsid w:val="00BA3592"/>
    <w:rsid w:val="00BA42D4"/>
    <w:rsid w:val="00BA49BC"/>
    <w:rsid w:val="00BA56B7"/>
    <w:rsid w:val="00BA7A1E"/>
    <w:rsid w:val="00BB2F6C"/>
    <w:rsid w:val="00BB3875"/>
    <w:rsid w:val="00BB3C31"/>
    <w:rsid w:val="00BB460A"/>
    <w:rsid w:val="00BB4940"/>
    <w:rsid w:val="00BB5860"/>
    <w:rsid w:val="00BB6AAD"/>
    <w:rsid w:val="00BB77FB"/>
    <w:rsid w:val="00BC34ED"/>
    <w:rsid w:val="00BC4A19"/>
    <w:rsid w:val="00BC4E6D"/>
    <w:rsid w:val="00BC5693"/>
    <w:rsid w:val="00BC6E36"/>
    <w:rsid w:val="00BD0617"/>
    <w:rsid w:val="00BD2E9B"/>
    <w:rsid w:val="00BD7FB2"/>
    <w:rsid w:val="00BE38D7"/>
    <w:rsid w:val="00BE4975"/>
    <w:rsid w:val="00BE4B6E"/>
    <w:rsid w:val="00BF1933"/>
    <w:rsid w:val="00BF236A"/>
    <w:rsid w:val="00BF3B96"/>
    <w:rsid w:val="00C00930"/>
    <w:rsid w:val="00C00D02"/>
    <w:rsid w:val="00C039E6"/>
    <w:rsid w:val="00C060AD"/>
    <w:rsid w:val="00C100F8"/>
    <w:rsid w:val="00C10882"/>
    <w:rsid w:val="00C10F35"/>
    <w:rsid w:val="00C113BF"/>
    <w:rsid w:val="00C2050B"/>
    <w:rsid w:val="00C2176E"/>
    <w:rsid w:val="00C222AB"/>
    <w:rsid w:val="00C229AE"/>
    <w:rsid w:val="00C23430"/>
    <w:rsid w:val="00C242A8"/>
    <w:rsid w:val="00C245CA"/>
    <w:rsid w:val="00C27D67"/>
    <w:rsid w:val="00C34D38"/>
    <w:rsid w:val="00C34DD5"/>
    <w:rsid w:val="00C4442F"/>
    <w:rsid w:val="00C4631F"/>
    <w:rsid w:val="00C47CDE"/>
    <w:rsid w:val="00C50501"/>
    <w:rsid w:val="00C50CDA"/>
    <w:rsid w:val="00C50E16"/>
    <w:rsid w:val="00C54174"/>
    <w:rsid w:val="00C54836"/>
    <w:rsid w:val="00C55258"/>
    <w:rsid w:val="00C6017E"/>
    <w:rsid w:val="00C641BD"/>
    <w:rsid w:val="00C65F71"/>
    <w:rsid w:val="00C66524"/>
    <w:rsid w:val="00C711D7"/>
    <w:rsid w:val="00C715F7"/>
    <w:rsid w:val="00C71D26"/>
    <w:rsid w:val="00C80E68"/>
    <w:rsid w:val="00C82EEB"/>
    <w:rsid w:val="00C845AE"/>
    <w:rsid w:val="00C84C89"/>
    <w:rsid w:val="00C91CD2"/>
    <w:rsid w:val="00C952F9"/>
    <w:rsid w:val="00C971DC"/>
    <w:rsid w:val="00CA16B7"/>
    <w:rsid w:val="00CA463C"/>
    <w:rsid w:val="00CA62AE"/>
    <w:rsid w:val="00CA7158"/>
    <w:rsid w:val="00CB14B8"/>
    <w:rsid w:val="00CB5B1A"/>
    <w:rsid w:val="00CB68E9"/>
    <w:rsid w:val="00CC220B"/>
    <w:rsid w:val="00CC549D"/>
    <w:rsid w:val="00CC5C43"/>
    <w:rsid w:val="00CD02AE"/>
    <w:rsid w:val="00CD0307"/>
    <w:rsid w:val="00CD26A8"/>
    <w:rsid w:val="00CD2A4F"/>
    <w:rsid w:val="00CD459C"/>
    <w:rsid w:val="00CD5684"/>
    <w:rsid w:val="00CD7605"/>
    <w:rsid w:val="00CE03CA"/>
    <w:rsid w:val="00CE1862"/>
    <w:rsid w:val="00CE22F1"/>
    <w:rsid w:val="00CE42FE"/>
    <w:rsid w:val="00CE50F2"/>
    <w:rsid w:val="00CE6502"/>
    <w:rsid w:val="00CE685B"/>
    <w:rsid w:val="00CE75F4"/>
    <w:rsid w:val="00CF069A"/>
    <w:rsid w:val="00CF36A5"/>
    <w:rsid w:val="00CF66EB"/>
    <w:rsid w:val="00CF6E34"/>
    <w:rsid w:val="00CF7041"/>
    <w:rsid w:val="00CF7D3C"/>
    <w:rsid w:val="00D01F09"/>
    <w:rsid w:val="00D0386E"/>
    <w:rsid w:val="00D0456F"/>
    <w:rsid w:val="00D077EF"/>
    <w:rsid w:val="00D07AA4"/>
    <w:rsid w:val="00D12485"/>
    <w:rsid w:val="00D13AEF"/>
    <w:rsid w:val="00D13DCE"/>
    <w:rsid w:val="00D147EB"/>
    <w:rsid w:val="00D1487B"/>
    <w:rsid w:val="00D17000"/>
    <w:rsid w:val="00D206C2"/>
    <w:rsid w:val="00D207E0"/>
    <w:rsid w:val="00D2082B"/>
    <w:rsid w:val="00D2132B"/>
    <w:rsid w:val="00D2647A"/>
    <w:rsid w:val="00D326FA"/>
    <w:rsid w:val="00D34667"/>
    <w:rsid w:val="00D401E1"/>
    <w:rsid w:val="00D403DE"/>
    <w:rsid w:val="00D408B4"/>
    <w:rsid w:val="00D40AE0"/>
    <w:rsid w:val="00D42F94"/>
    <w:rsid w:val="00D465A5"/>
    <w:rsid w:val="00D4726A"/>
    <w:rsid w:val="00D51FCC"/>
    <w:rsid w:val="00D52242"/>
    <w:rsid w:val="00D524C8"/>
    <w:rsid w:val="00D57BC0"/>
    <w:rsid w:val="00D615EE"/>
    <w:rsid w:val="00D617A7"/>
    <w:rsid w:val="00D623B2"/>
    <w:rsid w:val="00D624B6"/>
    <w:rsid w:val="00D6358D"/>
    <w:rsid w:val="00D642EA"/>
    <w:rsid w:val="00D65099"/>
    <w:rsid w:val="00D655BD"/>
    <w:rsid w:val="00D669B2"/>
    <w:rsid w:val="00D70E24"/>
    <w:rsid w:val="00D726CA"/>
    <w:rsid w:val="00D72B61"/>
    <w:rsid w:val="00D76380"/>
    <w:rsid w:val="00D91924"/>
    <w:rsid w:val="00D93A58"/>
    <w:rsid w:val="00D95746"/>
    <w:rsid w:val="00D96A68"/>
    <w:rsid w:val="00D97571"/>
    <w:rsid w:val="00D9760A"/>
    <w:rsid w:val="00DA0AC0"/>
    <w:rsid w:val="00DA383C"/>
    <w:rsid w:val="00DA3D1D"/>
    <w:rsid w:val="00DA4864"/>
    <w:rsid w:val="00DA4A28"/>
    <w:rsid w:val="00DB0EC6"/>
    <w:rsid w:val="00DB6286"/>
    <w:rsid w:val="00DB645F"/>
    <w:rsid w:val="00DB6CAD"/>
    <w:rsid w:val="00DB7300"/>
    <w:rsid w:val="00DB76E9"/>
    <w:rsid w:val="00DC0A67"/>
    <w:rsid w:val="00DC0BB5"/>
    <w:rsid w:val="00DC1D5E"/>
    <w:rsid w:val="00DC1E58"/>
    <w:rsid w:val="00DC3881"/>
    <w:rsid w:val="00DC5220"/>
    <w:rsid w:val="00DD023F"/>
    <w:rsid w:val="00DD2061"/>
    <w:rsid w:val="00DD2CE3"/>
    <w:rsid w:val="00DD2F9E"/>
    <w:rsid w:val="00DD39F6"/>
    <w:rsid w:val="00DD3DCC"/>
    <w:rsid w:val="00DD4140"/>
    <w:rsid w:val="00DD5E86"/>
    <w:rsid w:val="00DD7DAB"/>
    <w:rsid w:val="00DE2545"/>
    <w:rsid w:val="00DE3355"/>
    <w:rsid w:val="00DE4088"/>
    <w:rsid w:val="00DE5EC9"/>
    <w:rsid w:val="00DF0C60"/>
    <w:rsid w:val="00DF119D"/>
    <w:rsid w:val="00DF486F"/>
    <w:rsid w:val="00DF5B5B"/>
    <w:rsid w:val="00DF7563"/>
    <w:rsid w:val="00DF7619"/>
    <w:rsid w:val="00DF7DFB"/>
    <w:rsid w:val="00E033B3"/>
    <w:rsid w:val="00E042D8"/>
    <w:rsid w:val="00E07EE7"/>
    <w:rsid w:val="00E10EAF"/>
    <w:rsid w:val="00E1103B"/>
    <w:rsid w:val="00E12AFD"/>
    <w:rsid w:val="00E1657D"/>
    <w:rsid w:val="00E17B44"/>
    <w:rsid w:val="00E204F7"/>
    <w:rsid w:val="00E20F27"/>
    <w:rsid w:val="00E22443"/>
    <w:rsid w:val="00E23808"/>
    <w:rsid w:val="00E25B1F"/>
    <w:rsid w:val="00E25BB0"/>
    <w:rsid w:val="00E27FEA"/>
    <w:rsid w:val="00E328B1"/>
    <w:rsid w:val="00E33A9A"/>
    <w:rsid w:val="00E34199"/>
    <w:rsid w:val="00E357FE"/>
    <w:rsid w:val="00E36784"/>
    <w:rsid w:val="00E3741A"/>
    <w:rsid w:val="00E375D1"/>
    <w:rsid w:val="00E4086F"/>
    <w:rsid w:val="00E42BCE"/>
    <w:rsid w:val="00E43B3C"/>
    <w:rsid w:val="00E43B57"/>
    <w:rsid w:val="00E43F43"/>
    <w:rsid w:val="00E46D64"/>
    <w:rsid w:val="00E479D5"/>
    <w:rsid w:val="00E50188"/>
    <w:rsid w:val="00E50BB3"/>
    <w:rsid w:val="00E512D7"/>
    <w:rsid w:val="00E51487"/>
    <w:rsid w:val="00E515CB"/>
    <w:rsid w:val="00E52260"/>
    <w:rsid w:val="00E561B3"/>
    <w:rsid w:val="00E566EB"/>
    <w:rsid w:val="00E56E0C"/>
    <w:rsid w:val="00E6290B"/>
    <w:rsid w:val="00E62E54"/>
    <w:rsid w:val="00E639B6"/>
    <w:rsid w:val="00E6434B"/>
    <w:rsid w:val="00E6463D"/>
    <w:rsid w:val="00E65789"/>
    <w:rsid w:val="00E67A6E"/>
    <w:rsid w:val="00E72E9B"/>
    <w:rsid w:val="00E74614"/>
    <w:rsid w:val="00E74885"/>
    <w:rsid w:val="00E81F2A"/>
    <w:rsid w:val="00E84FCF"/>
    <w:rsid w:val="00E850C3"/>
    <w:rsid w:val="00E87DF2"/>
    <w:rsid w:val="00E90D6D"/>
    <w:rsid w:val="00E91A3E"/>
    <w:rsid w:val="00E92D17"/>
    <w:rsid w:val="00E93E5A"/>
    <w:rsid w:val="00E9462E"/>
    <w:rsid w:val="00EA0761"/>
    <w:rsid w:val="00EA0DCC"/>
    <w:rsid w:val="00EA11AF"/>
    <w:rsid w:val="00EA470E"/>
    <w:rsid w:val="00EA47A7"/>
    <w:rsid w:val="00EA56F5"/>
    <w:rsid w:val="00EA57EB"/>
    <w:rsid w:val="00EA7642"/>
    <w:rsid w:val="00EB0438"/>
    <w:rsid w:val="00EB0602"/>
    <w:rsid w:val="00EB16B2"/>
    <w:rsid w:val="00EB3226"/>
    <w:rsid w:val="00EB3F15"/>
    <w:rsid w:val="00EB45C6"/>
    <w:rsid w:val="00EC0895"/>
    <w:rsid w:val="00EC213A"/>
    <w:rsid w:val="00EC4634"/>
    <w:rsid w:val="00EC4D50"/>
    <w:rsid w:val="00EC6020"/>
    <w:rsid w:val="00EC60BB"/>
    <w:rsid w:val="00EC7744"/>
    <w:rsid w:val="00ED0DAD"/>
    <w:rsid w:val="00ED0F46"/>
    <w:rsid w:val="00ED1CA7"/>
    <w:rsid w:val="00ED2373"/>
    <w:rsid w:val="00ED64B4"/>
    <w:rsid w:val="00ED7BC3"/>
    <w:rsid w:val="00EE015C"/>
    <w:rsid w:val="00EE06FE"/>
    <w:rsid w:val="00EE2112"/>
    <w:rsid w:val="00EE3E8A"/>
    <w:rsid w:val="00EE42F3"/>
    <w:rsid w:val="00EE47D5"/>
    <w:rsid w:val="00EE64CB"/>
    <w:rsid w:val="00EE7543"/>
    <w:rsid w:val="00EE758C"/>
    <w:rsid w:val="00EF1068"/>
    <w:rsid w:val="00EF29CF"/>
    <w:rsid w:val="00EF4207"/>
    <w:rsid w:val="00EF58B8"/>
    <w:rsid w:val="00EF5998"/>
    <w:rsid w:val="00EF6ECA"/>
    <w:rsid w:val="00EF7DF3"/>
    <w:rsid w:val="00F024E1"/>
    <w:rsid w:val="00F04DC7"/>
    <w:rsid w:val="00F06C10"/>
    <w:rsid w:val="00F1096F"/>
    <w:rsid w:val="00F12589"/>
    <w:rsid w:val="00F12595"/>
    <w:rsid w:val="00F134D9"/>
    <w:rsid w:val="00F1403D"/>
    <w:rsid w:val="00F1463F"/>
    <w:rsid w:val="00F16795"/>
    <w:rsid w:val="00F170AB"/>
    <w:rsid w:val="00F1770F"/>
    <w:rsid w:val="00F21302"/>
    <w:rsid w:val="00F22CDD"/>
    <w:rsid w:val="00F2430D"/>
    <w:rsid w:val="00F25447"/>
    <w:rsid w:val="00F26D69"/>
    <w:rsid w:val="00F26E51"/>
    <w:rsid w:val="00F321DE"/>
    <w:rsid w:val="00F33777"/>
    <w:rsid w:val="00F34A83"/>
    <w:rsid w:val="00F36951"/>
    <w:rsid w:val="00F40648"/>
    <w:rsid w:val="00F4293C"/>
    <w:rsid w:val="00F43824"/>
    <w:rsid w:val="00F47DA2"/>
    <w:rsid w:val="00F512D6"/>
    <w:rsid w:val="00F519FC"/>
    <w:rsid w:val="00F5369B"/>
    <w:rsid w:val="00F56EEC"/>
    <w:rsid w:val="00F6239D"/>
    <w:rsid w:val="00F6405F"/>
    <w:rsid w:val="00F65203"/>
    <w:rsid w:val="00F715D2"/>
    <w:rsid w:val="00F7274F"/>
    <w:rsid w:val="00F74E84"/>
    <w:rsid w:val="00F76FA8"/>
    <w:rsid w:val="00F82F3E"/>
    <w:rsid w:val="00F84143"/>
    <w:rsid w:val="00F85B43"/>
    <w:rsid w:val="00F870FA"/>
    <w:rsid w:val="00F93F08"/>
    <w:rsid w:val="00F94624"/>
    <w:rsid w:val="00F94CED"/>
    <w:rsid w:val="00F95AE9"/>
    <w:rsid w:val="00F9659E"/>
    <w:rsid w:val="00F9770E"/>
    <w:rsid w:val="00FA02BB"/>
    <w:rsid w:val="00FA1C95"/>
    <w:rsid w:val="00FA2CEE"/>
    <w:rsid w:val="00FA318C"/>
    <w:rsid w:val="00FA36D9"/>
    <w:rsid w:val="00FA586E"/>
    <w:rsid w:val="00FA5AF1"/>
    <w:rsid w:val="00FB1B56"/>
    <w:rsid w:val="00FB2A55"/>
    <w:rsid w:val="00FB3466"/>
    <w:rsid w:val="00FB3DE4"/>
    <w:rsid w:val="00FB4148"/>
    <w:rsid w:val="00FB5B4A"/>
    <w:rsid w:val="00FB6F92"/>
    <w:rsid w:val="00FB7D85"/>
    <w:rsid w:val="00FC026E"/>
    <w:rsid w:val="00FC1A5B"/>
    <w:rsid w:val="00FC33FC"/>
    <w:rsid w:val="00FC5124"/>
    <w:rsid w:val="00FD0EF4"/>
    <w:rsid w:val="00FD1403"/>
    <w:rsid w:val="00FD2360"/>
    <w:rsid w:val="00FD4731"/>
    <w:rsid w:val="00FD47A0"/>
    <w:rsid w:val="00FD5F4B"/>
    <w:rsid w:val="00FD6768"/>
    <w:rsid w:val="00FE1653"/>
    <w:rsid w:val="00FE1B71"/>
    <w:rsid w:val="00FE4145"/>
    <w:rsid w:val="00FE44A7"/>
    <w:rsid w:val="00FE5B2B"/>
    <w:rsid w:val="00FF0AB0"/>
    <w:rsid w:val="00FF2833"/>
    <w:rsid w:val="00FF28AC"/>
    <w:rsid w:val="00FF5713"/>
    <w:rsid w:val="00FF5C66"/>
    <w:rsid w:val="00FF6D35"/>
    <w:rsid w:val="00FF777D"/>
    <w:rsid w:val="00FF7F58"/>
    <w:rsid w:val="00FF7F62"/>
    <w:rsid w:val="0125A8F1"/>
    <w:rsid w:val="01370F23"/>
    <w:rsid w:val="0268BE51"/>
    <w:rsid w:val="02E5BBA7"/>
    <w:rsid w:val="0382DA78"/>
    <w:rsid w:val="03E04C8E"/>
    <w:rsid w:val="03EF63CC"/>
    <w:rsid w:val="040C9585"/>
    <w:rsid w:val="045B4E51"/>
    <w:rsid w:val="04BB71E9"/>
    <w:rsid w:val="04D0F138"/>
    <w:rsid w:val="04EE4E88"/>
    <w:rsid w:val="0564AE47"/>
    <w:rsid w:val="059EE546"/>
    <w:rsid w:val="05F35A98"/>
    <w:rsid w:val="0608F492"/>
    <w:rsid w:val="062875E3"/>
    <w:rsid w:val="065DBF99"/>
    <w:rsid w:val="069BC024"/>
    <w:rsid w:val="06CADD13"/>
    <w:rsid w:val="06F9C83B"/>
    <w:rsid w:val="06FA5FB4"/>
    <w:rsid w:val="06FC2C3A"/>
    <w:rsid w:val="0710B26A"/>
    <w:rsid w:val="07A4C4F3"/>
    <w:rsid w:val="07B11BAC"/>
    <w:rsid w:val="0890D75C"/>
    <w:rsid w:val="0895989C"/>
    <w:rsid w:val="08ABE952"/>
    <w:rsid w:val="08EC6C72"/>
    <w:rsid w:val="090608B7"/>
    <w:rsid w:val="09687978"/>
    <w:rsid w:val="09816E09"/>
    <w:rsid w:val="09E2650C"/>
    <w:rsid w:val="0A599D05"/>
    <w:rsid w:val="0AE2BEA9"/>
    <w:rsid w:val="0B54018B"/>
    <w:rsid w:val="0BD0F1F6"/>
    <w:rsid w:val="0C70630C"/>
    <w:rsid w:val="0CE4231A"/>
    <w:rsid w:val="0D0832CC"/>
    <w:rsid w:val="0E4712D1"/>
    <w:rsid w:val="0E615D24"/>
    <w:rsid w:val="0EBD81DB"/>
    <w:rsid w:val="0EC54006"/>
    <w:rsid w:val="10CCCE0F"/>
    <w:rsid w:val="1146F282"/>
    <w:rsid w:val="124B1ED5"/>
    <w:rsid w:val="128A204F"/>
    <w:rsid w:val="12D6F970"/>
    <w:rsid w:val="13D84B43"/>
    <w:rsid w:val="141D0BE3"/>
    <w:rsid w:val="15563207"/>
    <w:rsid w:val="15C54B9F"/>
    <w:rsid w:val="1731DFA5"/>
    <w:rsid w:val="176FF00B"/>
    <w:rsid w:val="1773D3E7"/>
    <w:rsid w:val="17B681E6"/>
    <w:rsid w:val="17C461F7"/>
    <w:rsid w:val="17E1E31B"/>
    <w:rsid w:val="18251C6F"/>
    <w:rsid w:val="18D6A3B6"/>
    <w:rsid w:val="18DC0D6C"/>
    <w:rsid w:val="19B74BAB"/>
    <w:rsid w:val="1A1D2615"/>
    <w:rsid w:val="1B4F7BF0"/>
    <w:rsid w:val="1BA7AFE1"/>
    <w:rsid w:val="1D1443E7"/>
    <w:rsid w:val="1E00DEB2"/>
    <w:rsid w:val="1E1EC030"/>
    <w:rsid w:val="1EE38E78"/>
    <w:rsid w:val="1EFDA12D"/>
    <w:rsid w:val="23595CD0"/>
    <w:rsid w:val="23963D10"/>
    <w:rsid w:val="23D38143"/>
    <w:rsid w:val="246832B0"/>
    <w:rsid w:val="24C47BE2"/>
    <w:rsid w:val="2590CBF3"/>
    <w:rsid w:val="2664DA04"/>
    <w:rsid w:val="26737DF7"/>
    <w:rsid w:val="2690FD92"/>
    <w:rsid w:val="270B2205"/>
    <w:rsid w:val="271EFDF9"/>
    <w:rsid w:val="28A6F266"/>
    <w:rsid w:val="28B30958"/>
    <w:rsid w:val="295139AA"/>
    <w:rsid w:val="29F773AA"/>
    <w:rsid w:val="2A835285"/>
    <w:rsid w:val="2B60E2E1"/>
    <w:rsid w:val="2BD68CAF"/>
    <w:rsid w:val="2C26FF68"/>
    <w:rsid w:val="2CE2BF7B"/>
    <w:rsid w:val="2D6E551F"/>
    <w:rsid w:val="2D93E97B"/>
    <w:rsid w:val="2E181B9D"/>
    <w:rsid w:val="2F2F2CE0"/>
    <w:rsid w:val="2FAD2646"/>
    <w:rsid w:val="30073ECE"/>
    <w:rsid w:val="300CBD70"/>
    <w:rsid w:val="310EED60"/>
    <w:rsid w:val="31C8E945"/>
    <w:rsid w:val="320109E3"/>
    <w:rsid w:val="336EF54F"/>
    <w:rsid w:val="33BD20AF"/>
    <w:rsid w:val="33CD446F"/>
    <w:rsid w:val="34029E03"/>
    <w:rsid w:val="34B59E61"/>
    <w:rsid w:val="34EA029B"/>
    <w:rsid w:val="34EDD160"/>
    <w:rsid w:val="350AC5B0"/>
    <w:rsid w:val="361C44E6"/>
    <w:rsid w:val="36923DEE"/>
    <w:rsid w:val="36E1465B"/>
    <w:rsid w:val="37081D72"/>
    <w:rsid w:val="3748AD30"/>
    <w:rsid w:val="376ED43C"/>
    <w:rsid w:val="38163140"/>
    <w:rsid w:val="383A52EC"/>
    <w:rsid w:val="38B2BB1F"/>
    <w:rsid w:val="3A1CA1FE"/>
    <w:rsid w:val="3A6BE1C2"/>
    <w:rsid w:val="3A75D2BD"/>
    <w:rsid w:val="3ABB3B23"/>
    <w:rsid w:val="3AFBD571"/>
    <w:rsid w:val="3B16C25D"/>
    <w:rsid w:val="3B57E531"/>
    <w:rsid w:val="3E4E631F"/>
    <w:rsid w:val="3E7CC7A4"/>
    <w:rsid w:val="3F32A002"/>
    <w:rsid w:val="3FEA3380"/>
    <w:rsid w:val="405B23A9"/>
    <w:rsid w:val="40A31CA3"/>
    <w:rsid w:val="4121D187"/>
    <w:rsid w:val="41445784"/>
    <w:rsid w:val="417D8A76"/>
    <w:rsid w:val="42A6EEFE"/>
    <w:rsid w:val="43674E15"/>
    <w:rsid w:val="43E97654"/>
    <w:rsid w:val="44D72B2C"/>
    <w:rsid w:val="4505DD32"/>
    <w:rsid w:val="45CD2BC3"/>
    <w:rsid w:val="495252A4"/>
    <w:rsid w:val="49C5256C"/>
    <w:rsid w:val="4ABC8FE5"/>
    <w:rsid w:val="4AF280F1"/>
    <w:rsid w:val="4B2D4453"/>
    <w:rsid w:val="4B56472E"/>
    <w:rsid w:val="4B629DE7"/>
    <w:rsid w:val="4F340DF1"/>
    <w:rsid w:val="4F3D182E"/>
    <w:rsid w:val="51DE5790"/>
    <w:rsid w:val="51E9C2AD"/>
    <w:rsid w:val="52069423"/>
    <w:rsid w:val="5274B8F0"/>
    <w:rsid w:val="52DF9B37"/>
    <w:rsid w:val="542C192B"/>
    <w:rsid w:val="54E33661"/>
    <w:rsid w:val="559A9ADA"/>
    <w:rsid w:val="55AD81B4"/>
    <w:rsid w:val="55EDFD1D"/>
    <w:rsid w:val="561A20AB"/>
    <w:rsid w:val="5747A92F"/>
    <w:rsid w:val="5770A521"/>
    <w:rsid w:val="58AB9E8F"/>
    <w:rsid w:val="58B292ED"/>
    <w:rsid w:val="58B2B0B9"/>
    <w:rsid w:val="59259DDF"/>
    <w:rsid w:val="59D0043B"/>
    <w:rsid w:val="59D6F38B"/>
    <w:rsid w:val="59DC8F5E"/>
    <w:rsid w:val="5A186AD2"/>
    <w:rsid w:val="5E0C0A33"/>
    <w:rsid w:val="5E296008"/>
    <w:rsid w:val="5E7A902C"/>
    <w:rsid w:val="5EC4664C"/>
    <w:rsid w:val="5ECFE774"/>
    <w:rsid w:val="61A6BED1"/>
    <w:rsid w:val="620F1253"/>
    <w:rsid w:val="62C29DCB"/>
    <w:rsid w:val="63696113"/>
    <w:rsid w:val="6414DB7C"/>
    <w:rsid w:val="6470BF13"/>
    <w:rsid w:val="6481837B"/>
    <w:rsid w:val="6493E8C9"/>
    <w:rsid w:val="66D9FA3D"/>
    <w:rsid w:val="67A73111"/>
    <w:rsid w:val="67CA3B1C"/>
    <w:rsid w:val="67CB898B"/>
    <w:rsid w:val="68782F71"/>
    <w:rsid w:val="688D8CE0"/>
    <w:rsid w:val="68A68AE1"/>
    <w:rsid w:val="6971BD4D"/>
    <w:rsid w:val="69865BDE"/>
    <w:rsid w:val="69C5A90C"/>
    <w:rsid w:val="69F504DB"/>
    <w:rsid w:val="6A5611CD"/>
    <w:rsid w:val="6A744BF9"/>
    <w:rsid w:val="6A98561C"/>
    <w:rsid w:val="6B4E8764"/>
    <w:rsid w:val="6B90D53C"/>
    <w:rsid w:val="6C28C500"/>
    <w:rsid w:val="6D25017D"/>
    <w:rsid w:val="6D5277FF"/>
    <w:rsid w:val="6D5B7204"/>
    <w:rsid w:val="6DA34FE2"/>
    <w:rsid w:val="6F486DB1"/>
    <w:rsid w:val="6FBA24A6"/>
    <w:rsid w:val="70DFFE61"/>
    <w:rsid w:val="713598B7"/>
    <w:rsid w:val="71743F9C"/>
    <w:rsid w:val="718C6C8D"/>
    <w:rsid w:val="72B4218A"/>
    <w:rsid w:val="72D16918"/>
    <w:rsid w:val="72D5E416"/>
    <w:rsid w:val="731C66D4"/>
    <w:rsid w:val="7425296A"/>
    <w:rsid w:val="75F13EC5"/>
    <w:rsid w:val="765A29FF"/>
    <w:rsid w:val="7696F219"/>
    <w:rsid w:val="76BB3245"/>
    <w:rsid w:val="76F319DA"/>
    <w:rsid w:val="7703833A"/>
    <w:rsid w:val="7703EAF2"/>
    <w:rsid w:val="771CEBB5"/>
    <w:rsid w:val="77819406"/>
    <w:rsid w:val="7781FEEB"/>
    <w:rsid w:val="77A04261"/>
    <w:rsid w:val="77ED58BC"/>
    <w:rsid w:val="789F539B"/>
    <w:rsid w:val="7909BE43"/>
    <w:rsid w:val="79D14BD9"/>
    <w:rsid w:val="79D28FF9"/>
    <w:rsid w:val="7A21FB9F"/>
    <w:rsid w:val="7A3C22B4"/>
    <w:rsid w:val="7A45B2FE"/>
    <w:rsid w:val="7B912AA8"/>
    <w:rsid w:val="7BE1835F"/>
    <w:rsid w:val="7C5237CD"/>
    <w:rsid w:val="7CABB3CD"/>
    <w:rsid w:val="7D2CFB09"/>
    <w:rsid w:val="7D834D2A"/>
    <w:rsid w:val="7DDDF618"/>
    <w:rsid w:val="7E5F79D3"/>
    <w:rsid w:val="7E71F29C"/>
    <w:rsid w:val="7FF53F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A719F6"/>
    <w:pPr>
      <w:tabs>
        <w:tab w:val="left" w:pos="340"/>
        <w:tab w:val="left" w:pos="680"/>
      </w:tabs>
      <w:spacing w:before="60" w:after="60"/>
    </w:p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C34D38"/>
    <w:pPr>
      <w:spacing w:before="60" w:after="60"/>
      <w:ind w:left="360" w:right="-963" w:hanging="12"/>
    </w:pPr>
    <w:rPr>
      <w:rFonts w:ascii="Arial" w:hAnsi="Arial" w:cs="Arial"/>
      <w:color w:val="000000" w:themeColor="text1"/>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nhideWhenUsed/>
    <w:rsid w:val="00CF36A5"/>
    <w:rPr>
      <w:sz w:val="16"/>
      <w:szCs w:val="16"/>
    </w:rPr>
  </w:style>
  <w:style w:type="paragraph" w:styleId="CommentText">
    <w:name w:val="annotation text"/>
    <w:basedOn w:val="Normal"/>
    <w:link w:val="CommentTextChar"/>
    <w:unhideWhenUsed/>
    <w:rsid w:val="00CF36A5"/>
    <w:pPr>
      <w:spacing w:line="240" w:lineRule="auto"/>
    </w:pPr>
    <w:rPr>
      <w:sz w:val="20"/>
      <w:szCs w:val="20"/>
    </w:rPr>
  </w:style>
  <w:style w:type="character" w:customStyle="1" w:styleId="CommentTextChar">
    <w:name w:val="Comment Text Char"/>
    <w:basedOn w:val="DefaultParagraphFont"/>
    <w:link w:val="CommentText"/>
    <w:rsid w:val="00CF36A5"/>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F36A5"/>
    <w:rPr>
      <w:b/>
      <w:bCs/>
    </w:rPr>
  </w:style>
  <w:style w:type="character" w:customStyle="1" w:styleId="CommentSubjectChar">
    <w:name w:val="Comment Subject Char"/>
    <w:basedOn w:val="CommentTextChar"/>
    <w:link w:val="CommentSubject"/>
    <w:semiHidden/>
    <w:rsid w:val="00CF36A5"/>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577F88"/>
    <w:rPr>
      <w:color w:val="605E5C"/>
      <w:shd w:val="clear" w:color="auto" w:fill="E1DFDD"/>
    </w:rPr>
  </w:style>
  <w:style w:type="character" w:styleId="FollowedHyperlink">
    <w:name w:val="FollowedHyperlink"/>
    <w:basedOn w:val="DefaultParagraphFont"/>
    <w:semiHidden/>
    <w:unhideWhenUsed/>
    <w:rsid w:val="005E3DC0"/>
    <w:rPr>
      <w:color w:val="800080" w:themeColor="followedHyperlink"/>
      <w:u w:val="single"/>
    </w:rPr>
  </w:style>
  <w:style w:type="paragraph" w:customStyle="1" w:styleId="Default">
    <w:name w:val="Default"/>
    <w:rsid w:val="005E3DC0"/>
    <w:pPr>
      <w:autoSpaceDE w:val="0"/>
      <w:autoSpaceDN w:val="0"/>
      <w:adjustRightInd w:val="0"/>
    </w:pPr>
    <w:rPr>
      <w:rFonts w:ascii="HelveticaNeueLT Std Cn" w:hAnsi="HelveticaNeueLT Std Cn" w:cs="HelveticaNeueLT Std Cn"/>
      <w:color w:val="000000"/>
      <w:sz w:val="24"/>
      <w:szCs w:val="24"/>
    </w:rPr>
  </w:style>
  <w:style w:type="character" w:customStyle="1" w:styleId="pointer-events-none">
    <w:name w:val="pointer-events-none"/>
    <w:basedOn w:val="DefaultParagraphFont"/>
    <w:rsid w:val="00054837"/>
  </w:style>
  <w:style w:type="paragraph" w:styleId="Revision">
    <w:name w:val="Revision"/>
    <w:hidden/>
    <w:uiPriority w:val="99"/>
    <w:semiHidden/>
    <w:rsid w:val="00735C8D"/>
    <w:rPr>
      <w:rFonts w:ascii="Arial" w:hAnsi="Arial"/>
      <w:color w:val="000000" w:themeColor="text1"/>
      <w:sz w:val="22"/>
      <w:szCs w:val="24"/>
      <w:lang w:eastAsia="en-US"/>
    </w:rPr>
  </w:style>
  <w:style w:type="table" w:styleId="LightGrid-Accent3">
    <w:name w:val="Light Grid Accent 3"/>
    <w:basedOn w:val="TableNormal"/>
    <w:uiPriority w:val="62"/>
    <w:locked/>
    <w:rsid w:val="005B4097"/>
    <w:rPr>
      <w:rFonts w:asciiTheme="minorHAnsi" w:eastAsiaTheme="minorHAnsi" w:hAnsiTheme="minorHAnsi" w:cstheme="minorBidi"/>
      <w:sz w:val="24"/>
      <w:szCs w:val="24"/>
      <w:lang w:val="en-GB" w:eastAsia="en-US"/>
    </w:rPr>
    <w:tblPr>
      <w:tblStyleRowBandSize w:val="1"/>
      <w:tblStyleColBandSize w:val="1"/>
      <w:tblBorders>
        <w:top w:val="single" w:sz="8" w:space="0" w:color="0078BF" w:themeColor="accent3"/>
        <w:left w:val="single" w:sz="8" w:space="0" w:color="0078BF" w:themeColor="accent3"/>
        <w:bottom w:val="single" w:sz="8" w:space="0" w:color="0078BF" w:themeColor="accent3"/>
        <w:right w:val="single" w:sz="8" w:space="0" w:color="0078BF" w:themeColor="accent3"/>
        <w:insideH w:val="single" w:sz="8" w:space="0" w:color="0078BF" w:themeColor="accent3"/>
        <w:insideV w:val="single" w:sz="8" w:space="0" w:color="0078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BF" w:themeColor="accent3"/>
          <w:left w:val="single" w:sz="8" w:space="0" w:color="0078BF" w:themeColor="accent3"/>
          <w:bottom w:val="single" w:sz="18" w:space="0" w:color="0078BF" w:themeColor="accent3"/>
          <w:right w:val="single" w:sz="8" w:space="0" w:color="0078BF" w:themeColor="accent3"/>
          <w:insideH w:val="nil"/>
          <w:insideV w:val="single" w:sz="8" w:space="0" w:color="0078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BF" w:themeColor="accent3"/>
          <w:left w:val="single" w:sz="8" w:space="0" w:color="0078BF" w:themeColor="accent3"/>
          <w:bottom w:val="single" w:sz="8" w:space="0" w:color="0078BF" w:themeColor="accent3"/>
          <w:right w:val="single" w:sz="8" w:space="0" w:color="0078BF" w:themeColor="accent3"/>
          <w:insideH w:val="nil"/>
          <w:insideV w:val="single" w:sz="8" w:space="0" w:color="0078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BF" w:themeColor="accent3"/>
          <w:left w:val="single" w:sz="8" w:space="0" w:color="0078BF" w:themeColor="accent3"/>
          <w:bottom w:val="single" w:sz="8" w:space="0" w:color="0078BF" w:themeColor="accent3"/>
          <w:right w:val="single" w:sz="8" w:space="0" w:color="0078BF" w:themeColor="accent3"/>
        </w:tcBorders>
      </w:tcPr>
    </w:tblStylePr>
    <w:tblStylePr w:type="band1Vert">
      <w:tblPr/>
      <w:tcPr>
        <w:tcBorders>
          <w:top w:val="single" w:sz="8" w:space="0" w:color="0078BF" w:themeColor="accent3"/>
          <w:left w:val="single" w:sz="8" w:space="0" w:color="0078BF" w:themeColor="accent3"/>
          <w:bottom w:val="single" w:sz="8" w:space="0" w:color="0078BF" w:themeColor="accent3"/>
          <w:right w:val="single" w:sz="8" w:space="0" w:color="0078BF" w:themeColor="accent3"/>
        </w:tcBorders>
        <w:shd w:val="clear" w:color="auto" w:fill="B0E1FF" w:themeFill="accent3" w:themeFillTint="3F"/>
      </w:tcPr>
    </w:tblStylePr>
    <w:tblStylePr w:type="band1Horz">
      <w:tblPr/>
      <w:tcPr>
        <w:tcBorders>
          <w:top w:val="single" w:sz="8" w:space="0" w:color="0078BF" w:themeColor="accent3"/>
          <w:left w:val="single" w:sz="8" w:space="0" w:color="0078BF" w:themeColor="accent3"/>
          <w:bottom w:val="single" w:sz="8" w:space="0" w:color="0078BF" w:themeColor="accent3"/>
          <w:right w:val="single" w:sz="8" w:space="0" w:color="0078BF" w:themeColor="accent3"/>
          <w:insideV w:val="single" w:sz="8" w:space="0" w:color="0078BF" w:themeColor="accent3"/>
        </w:tcBorders>
        <w:shd w:val="clear" w:color="auto" w:fill="B0E1FF" w:themeFill="accent3" w:themeFillTint="3F"/>
      </w:tcPr>
    </w:tblStylePr>
    <w:tblStylePr w:type="band2Horz">
      <w:tblPr/>
      <w:tcPr>
        <w:tcBorders>
          <w:top w:val="single" w:sz="8" w:space="0" w:color="0078BF" w:themeColor="accent3"/>
          <w:left w:val="single" w:sz="8" w:space="0" w:color="0078BF" w:themeColor="accent3"/>
          <w:bottom w:val="single" w:sz="8" w:space="0" w:color="0078BF" w:themeColor="accent3"/>
          <w:right w:val="single" w:sz="8" w:space="0" w:color="0078BF" w:themeColor="accent3"/>
          <w:insideV w:val="single" w:sz="8" w:space="0" w:color="0078BF" w:themeColor="accent3"/>
        </w:tcBorders>
      </w:tcPr>
    </w:tblStylePr>
  </w:style>
  <w:style w:type="character" w:styleId="FootnoteReference">
    <w:name w:val="footnote reference"/>
    <w:basedOn w:val="DefaultParagraphFont"/>
    <w:semiHidden/>
    <w:unhideWhenUsed/>
    <w:rsid w:val="00471D14"/>
    <w:rPr>
      <w:vertAlign w:val="superscript"/>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762EC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048">
      <w:bodyDiv w:val="1"/>
      <w:marLeft w:val="0"/>
      <w:marRight w:val="0"/>
      <w:marTop w:val="0"/>
      <w:marBottom w:val="0"/>
      <w:divBdr>
        <w:top w:val="none" w:sz="0" w:space="0" w:color="auto"/>
        <w:left w:val="none" w:sz="0" w:space="0" w:color="auto"/>
        <w:bottom w:val="none" w:sz="0" w:space="0" w:color="auto"/>
        <w:right w:val="none" w:sz="0" w:space="0" w:color="auto"/>
      </w:divBdr>
    </w:div>
    <w:div w:id="123695077">
      <w:bodyDiv w:val="1"/>
      <w:marLeft w:val="0"/>
      <w:marRight w:val="0"/>
      <w:marTop w:val="0"/>
      <w:marBottom w:val="0"/>
      <w:divBdr>
        <w:top w:val="none" w:sz="0" w:space="0" w:color="auto"/>
        <w:left w:val="none" w:sz="0" w:space="0" w:color="auto"/>
        <w:bottom w:val="none" w:sz="0" w:space="0" w:color="auto"/>
        <w:right w:val="none" w:sz="0" w:space="0" w:color="auto"/>
      </w:divBdr>
    </w:div>
    <w:div w:id="24531334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7883697">
      <w:bodyDiv w:val="1"/>
      <w:marLeft w:val="0"/>
      <w:marRight w:val="0"/>
      <w:marTop w:val="0"/>
      <w:marBottom w:val="0"/>
      <w:divBdr>
        <w:top w:val="none" w:sz="0" w:space="0" w:color="auto"/>
        <w:left w:val="none" w:sz="0" w:space="0" w:color="auto"/>
        <w:bottom w:val="none" w:sz="0" w:space="0" w:color="auto"/>
        <w:right w:val="none" w:sz="0" w:space="0" w:color="auto"/>
      </w:divBdr>
    </w:div>
    <w:div w:id="50228198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1363766">
      <w:bodyDiv w:val="1"/>
      <w:marLeft w:val="0"/>
      <w:marRight w:val="0"/>
      <w:marTop w:val="0"/>
      <w:marBottom w:val="0"/>
      <w:divBdr>
        <w:top w:val="none" w:sz="0" w:space="0" w:color="auto"/>
        <w:left w:val="none" w:sz="0" w:space="0" w:color="auto"/>
        <w:bottom w:val="none" w:sz="0" w:space="0" w:color="auto"/>
        <w:right w:val="none" w:sz="0" w:space="0" w:color="auto"/>
      </w:divBdr>
    </w:div>
    <w:div w:id="910312536">
      <w:bodyDiv w:val="1"/>
      <w:marLeft w:val="0"/>
      <w:marRight w:val="0"/>
      <w:marTop w:val="0"/>
      <w:marBottom w:val="0"/>
      <w:divBdr>
        <w:top w:val="none" w:sz="0" w:space="0" w:color="auto"/>
        <w:left w:val="none" w:sz="0" w:space="0" w:color="auto"/>
        <w:bottom w:val="none" w:sz="0" w:space="0" w:color="auto"/>
        <w:right w:val="none" w:sz="0" w:space="0" w:color="auto"/>
      </w:divBdr>
    </w:div>
    <w:div w:id="1094326173">
      <w:bodyDiv w:val="1"/>
      <w:marLeft w:val="0"/>
      <w:marRight w:val="0"/>
      <w:marTop w:val="0"/>
      <w:marBottom w:val="0"/>
      <w:divBdr>
        <w:top w:val="none" w:sz="0" w:space="0" w:color="auto"/>
        <w:left w:val="none" w:sz="0" w:space="0" w:color="auto"/>
        <w:bottom w:val="none" w:sz="0" w:space="0" w:color="auto"/>
        <w:right w:val="none" w:sz="0" w:space="0" w:color="auto"/>
      </w:divBdr>
    </w:div>
    <w:div w:id="1096635654">
      <w:bodyDiv w:val="1"/>
      <w:marLeft w:val="0"/>
      <w:marRight w:val="0"/>
      <w:marTop w:val="0"/>
      <w:marBottom w:val="0"/>
      <w:divBdr>
        <w:top w:val="none" w:sz="0" w:space="0" w:color="auto"/>
        <w:left w:val="none" w:sz="0" w:space="0" w:color="auto"/>
        <w:bottom w:val="none" w:sz="0" w:space="0" w:color="auto"/>
        <w:right w:val="none" w:sz="0" w:space="0" w:color="auto"/>
      </w:divBdr>
      <w:divsChild>
        <w:div w:id="347299358">
          <w:marLeft w:val="0"/>
          <w:marRight w:val="0"/>
          <w:marTop w:val="0"/>
          <w:marBottom w:val="0"/>
          <w:divBdr>
            <w:top w:val="none" w:sz="0" w:space="0" w:color="auto"/>
            <w:left w:val="none" w:sz="0" w:space="0" w:color="auto"/>
            <w:bottom w:val="none" w:sz="0" w:space="0" w:color="auto"/>
            <w:right w:val="none" w:sz="0" w:space="0" w:color="auto"/>
          </w:divBdr>
        </w:div>
        <w:div w:id="463500985">
          <w:marLeft w:val="0"/>
          <w:marRight w:val="0"/>
          <w:marTop w:val="0"/>
          <w:marBottom w:val="0"/>
          <w:divBdr>
            <w:top w:val="none" w:sz="0" w:space="0" w:color="auto"/>
            <w:left w:val="none" w:sz="0" w:space="0" w:color="auto"/>
            <w:bottom w:val="none" w:sz="0" w:space="0" w:color="auto"/>
            <w:right w:val="none" w:sz="0" w:space="0" w:color="auto"/>
          </w:divBdr>
        </w:div>
        <w:div w:id="836962425">
          <w:marLeft w:val="0"/>
          <w:marRight w:val="0"/>
          <w:marTop w:val="0"/>
          <w:marBottom w:val="0"/>
          <w:divBdr>
            <w:top w:val="none" w:sz="0" w:space="0" w:color="auto"/>
            <w:left w:val="none" w:sz="0" w:space="0" w:color="auto"/>
            <w:bottom w:val="none" w:sz="0" w:space="0" w:color="auto"/>
            <w:right w:val="none" w:sz="0" w:space="0" w:color="auto"/>
          </w:divBdr>
        </w:div>
      </w:divsChild>
    </w:div>
    <w:div w:id="1176381075">
      <w:bodyDiv w:val="1"/>
      <w:marLeft w:val="0"/>
      <w:marRight w:val="0"/>
      <w:marTop w:val="0"/>
      <w:marBottom w:val="0"/>
      <w:divBdr>
        <w:top w:val="none" w:sz="0" w:space="0" w:color="auto"/>
        <w:left w:val="none" w:sz="0" w:space="0" w:color="auto"/>
        <w:bottom w:val="none" w:sz="0" w:space="0" w:color="auto"/>
        <w:right w:val="none" w:sz="0" w:space="0" w:color="auto"/>
      </w:divBdr>
    </w:div>
    <w:div w:id="12009708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4246350">
      <w:bodyDiv w:val="1"/>
      <w:marLeft w:val="0"/>
      <w:marRight w:val="0"/>
      <w:marTop w:val="0"/>
      <w:marBottom w:val="0"/>
      <w:divBdr>
        <w:top w:val="none" w:sz="0" w:space="0" w:color="auto"/>
        <w:left w:val="none" w:sz="0" w:space="0" w:color="auto"/>
        <w:bottom w:val="none" w:sz="0" w:space="0" w:color="auto"/>
        <w:right w:val="none" w:sz="0" w:space="0" w:color="auto"/>
      </w:divBdr>
    </w:div>
    <w:div w:id="1383167730">
      <w:bodyDiv w:val="1"/>
      <w:marLeft w:val="0"/>
      <w:marRight w:val="0"/>
      <w:marTop w:val="0"/>
      <w:marBottom w:val="0"/>
      <w:divBdr>
        <w:top w:val="none" w:sz="0" w:space="0" w:color="auto"/>
        <w:left w:val="none" w:sz="0" w:space="0" w:color="auto"/>
        <w:bottom w:val="none" w:sz="0" w:space="0" w:color="auto"/>
        <w:right w:val="none" w:sz="0" w:space="0" w:color="auto"/>
      </w:divBdr>
    </w:div>
    <w:div w:id="1577402561">
      <w:bodyDiv w:val="1"/>
      <w:marLeft w:val="0"/>
      <w:marRight w:val="0"/>
      <w:marTop w:val="0"/>
      <w:marBottom w:val="0"/>
      <w:divBdr>
        <w:top w:val="none" w:sz="0" w:space="0" w:color="auto"/>
        <w:left w:val="none" w:sz="0" w:space="0" w:color="auto"/>
        <w:bottom w:val="none" w:sz="0" w:space="0" w:color="auto"/>
        <w:right w:val="none" w:sz="0" w:space="0" w:color="auto"/>
      </w:divBdr>
    </w:div>
    <w:div w:id="1595627826">
      <w:bodyDiv w:val="1"/>
      <w:marLeft w:val="0"/>
      <w:marRight w:val="0"/>
      <w:marTop w:val="0"/>
      <w:marBottom w:val="0"/>
      <w:divBdr>
        <w:top w:val="none" w:sz="0" w:space="0" w:color="auto"/>
        <w:left w:val="none" w:sz="0" w:space="0" w:color="auto"/>
        <w:bottom w:val="none" w:sz="0" w:space="0" w:color="auto"/>
        <w:right w:val="none" w:sz="0" w:space="0" w:color="auto"/>
      </w:divBdr>
    </w:div>
    <w:div w:id="1718243437">
      <w:bodyDiv w:val="1"/>
      <w:marLeft w:val="0"/>
      <w:marRight w:val="0"/>
      <w:marTop w:val="0"/>
      <w:marBottom w:val="0"/>
      <w:divBdr>
        <w:top w:val="none" w:sz="0" w:space="0" w:color="auto"/>
        <w:left w:val="none" w:sz="0" w:space="0" w:color="auto"/>
        <w:bottom w:val="none" w:sz="0" w:space="0" w:color="auto"/>
        <w:right w:val="none" w:sz="0" w:space="0" w:color="auto"/>
      </w:divBdr>
    </w:div>
    <w:div w:id="1788968707">
      <w:bodyDiv w:val="1"/>
      <w:marLeft w:val="0"/>
      <w:marRight w:val="0"/>
      <w:marTop w:val="0"/>
      <w:marBottom w:val="0"/>
      <w:divBdr>
        <w:top w:val="none" w:sz="0" w:space="0" w:color="auto"/>
        <w:left w:val="none" w:sz="0" w:space="0" w:color="auto"/>
        <w:bottom w:val="none" w:sz="0" w:space="0" w:color="auto"/>
        <w:right w:val="none" w:sz="0" w:space="0" w:color="auto"/>
      </w:divBdr>
    </w:div>
    <w:div w:id="2053067553">
      <w:bodyDiv w:val="1"/>
      <w:marLeft w:val="0"/>
      <w:marRight w:val="0"/>
      <w:marTop w:val="0"/>
      <w:marBottom w:val="0"/>
      <w:divBdr>
        <w:top w:val="none" w:sz="0" w:space="0" w:color="auto"/>
        <w:left w:val="none" w:sz="0" w:space="0" w:color="auto"/>
        <w:bottom w:val="none" w:sz="0" w:space="0" w:color="auto"/>
        <w:right w:val="none" w:sz="0" w:space="0" w:color="auto"/>
      </w:divBdr>
    </w:div>
    <w:div w:id="2086878494">
      <w:bodyDiv w:val="1"/>
      <w:marLeft w:val="0"/>
      <w:marRight w:val="0"/>
      <w:marTop w:val="0"/>
      <w:marBottom w:val="0"/>
      <w:divBdr>
        <w:top w:val="none" w:sz="0" w:space="0" w:color="auto"/>
        <w:left w:val="none" w:sz="0" w:space="0" w:color="auto"/>
        <w:bottom w:val="none" w:sz="0" w:space="0" w:color="auto"/>
        <w:right w:val="none" w:sz="0" w:space="0" w:color="auto"/>
      </w:divBdr>
    </w:div>
    <w:div w:id="21307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paonline.com.au/programs/medication-adherence-programs-2/odt" TargetMode="External"/><Relationship Id="rId13" Type="http://schemas.openxmlformats.org/officeDocument/2006/relationships/hyperlink" Target="https://www.pbs.gov.au/info/about-the-pbs"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ervicesaustralia.gov.au/hpos?context=22786" TargetMode="External"/><Relationship Id="rId7" Type="http://schemas.openxmlformats.org/officeDocument/2006/relationships/hyperlink" Target="https://www.ppaonline.com.au/programs/medication-adherence-programs-2/odt" TargetMode="External"/><Relationship Id="rId12" Type="http://schemas.openxmlformats.org/officeDocument/2006/relationships/hyperlink" Target="https://www.tga.gov.au/how-we-regulate/ingredients-and-scheduling-medicines-and-chemicals/poisons-standard-and-scheduling-medicines-and-chemicals/poisons-standard-susmp" TargetMode="External"/><Relationship Id="rId17" Type="http://schemas.openxmlformats.org/officeDocument/2006/relationships/hyperlink" Target="https://www.servicesaustralia.gov.au/medicare-car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pbs.gov.au/info/healthpro/explanatory-notes/front/fee" TargetMode="External"/><Relationship Id="rId20" Type="http://schemas.openxmlformats.org/officeDocument/2006/relationships/hyperlink" Target="https://www.pbs.gov.au/info/healthpro/explanatory-notes/front/f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Series/F2021L0037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pbs.gov.au/info/general/faq" TargetMode="External"/><Relationship Id="rId23" Type="http://schemas.openxmlformats.org/officeDocument/2006/relationships/footer" Target="footer1.xml"/><Relationship Id="rId10" Type="http://schemas.openxmlformats.org/officeDocument/2006/relationships/hyperlink" Target="https://www.servicesaustralia.gov.au/community-access-for-highly-specialised-drugs?context=23411" TargetMode="External"/><Relationship Id="rId19" Type="http://schemas.openxmlformats.org/officeDocument/2006/relationships/hyperlink" Target="https://www.pbs.gov.au/info/general/safety-net-faq" TargetMode="External"/><Relationship Id="rId4" Type="http://schemas.openxmlformats.org/officeDocument/2006/relationships/webSettings" Target="webSettings.xml"/><Relationship Id="rId9" Type="http://schemas.openxmlformats.org/officeDocument/2006/relationships/hyperlink" Target="https://www.pbs.gov.au/browse/section100-md" TargetMode="External"/><Relationship Id="rId14" Type="http://schemas.openxmlformats.org/officeDocument/2006/relationships/hyperlink" Target="https://www.pbs.gov.au/info/general/faq"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resources/publications/national-guidelines-for-medication-assisted-treatment-of-opioid-depend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10269</Characters>
  <Application>Microsoft Office Word</Application>
  <DocSecurity>0</DocSecurity>
  <Lines>85</Lines>
  <Paragraphs>23</Paragraphs>
  <ScaleCrop>false</ScaleCrop>
  <Company/>
  <LinksUpToDate>false</LinksUpToDate>
  <CharactersWithSpaces>11777</CharactersWithSpaces>
  <SharedDoc>false</SharedDoc>
  <HLinks>
    <vt:vector size="12" baseType="variant">
      <vt:variant>
        <vt:i4>5439497</vt:i4>
      </vt:variant>
      <vt:variant>
        <vt:i4>3</vt:i4>
      </vt:variant>
      <vt:variant>
        <vt:i4>0</vt:i4>
      </vt:variant>
      <vt:variant>
        <vt:i4>5</vt:i4>
      </vt:variant>
      <vt:variant>
        <vt:lpwstr>https://www.health.gov.au/resources/publications/community-service-obligation-cso-for-pharmaceutical-wholesalers-funding-pool-operational-guidelines?language=en</vt:lpwstr>
      </vt:variant>
      <vt:variant>
        <vt:lpwstr/>
      </vt:variant>
      <vt:variant>
        <vt:i4>3997743</vt:i4>
      </vt:variant>
      <vt:variant>
        <vt:i4>0</vt:i4>
      </vt:variant>
      <vt:variant>
        <vt:i4>0</vt:i4>
      </vt:variant>
      <vt:variant>
        <vt:i4>5</vt:i4>
      </vt:variant>
      <vt:variant>
        <vt:lpwstr>https://www.legislation.gov.au/Series/F2021L00374/Compilations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2025-06-27T05:16:00Z</dcterms:created>
  <dcterms:modified xsi:type="dcterms:W3CDTF">2025-06-27T05:16:00Z</dcterms:modified>
</cp:coreProperties>
</file>